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黑体"/>
          <w:sz w:val="36"/>
          <w:szCs w:val="36"/>
        </w:rPr>
      </w:pPr>
      <w:r>
        <w:rPr>
          <w:rFonts w:hint="eastAsia" w:ascii="黑体" w:hAnsi="黑体" w:eastAsia="黑体" w:cs="黑体"/>
          <w:sz w:val="36"/>
          <w:szCs w:val="36"/>
        </w:rPr>
        <w:t>吉林建筑科技学院</w:t>
      </w:r>
    </w:p>
    <w:p>
      <w:pPr>
        <w:adjustRightInd w:val="0"/>
        <w:snapToGrid w:val="0"/>
        <w:spacing w:line="560" w:lineRule="exact"/>
        <w:jc w:val="center"/>
        <w:rPr>
          <w:rFonts w:ascii="黑体" w:hAnsi="黑体" w:eastAsia="黑体" w:cs="黑体"/>
          <w:sz w:val="36"/>
          <w:szCs w:val="36"/>
        </w:rPr>
      </w:pPr>
      <w:r>
        <w:rPr>
          <w:rFonts w:hint="eastAsia" w:ascii="黑体" w:hAnsi="黑体" w:eastAsia="黑体" w:cs="黑体"/>
          <w:sz w:val="36"/>
          <w:szCs w:val="36"/>
        </w:rPr>
        <w:t>本科教学工作合格评估材料归档规范与要求</w:t>
      </w:r>
    </w:p>
    <w:p>
      <w:pPr>
        <w:spacing w:line="560" w:lineRule="exact"/>
        <w:ind w:firstLine="640" w:firstLineChars="200"/>
        <w:rPr>
          <w:rFonts w:ascii="仿宋" w:hAnsi="仿宋" w:eastAsia="仿宋" w:cs="仿宋"/>
          <w:sz w:val="32"/>
          <w:szCs w:val="32"/>
          <w:shd w:val="clear" w:color="auto" w:fill="FFFFFF"/>
        </w:rPr>
      </w:pP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合格评估评建材料是支撑教育部“普通高等学校本科教学工作合格评估指标体系”所需的各类支撑材料和佐证材料，是学校本科教学过程与基本状态的直接体现，也是评估专家开展实地考察评估的重要依据。为使我校本科教学工作合格评估评建材料的收集与整理工作科学化、规范化，充分展示学校本科教学工作的评建成果，特制定本规范。</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一、材料收集、整理和编撰原则</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 xml:space="preserve">（一）针对性原则 </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材料的准备要依据评估指标体系，紧扣指标及观测点内涵，做到每一个观测点都有支撑和佐证。材料要突出重点、优势和特色，在说明问题和反映工作全貌的前提下，力求简洁明了。</w:t>
      </w:r>
    </w:p>
    <w:p>
      <w:pPr>
        <w:spacing w:line="560" w:lineRule="exact"/>
        <w:ind w:firstLine="640" w:firstLineChars="200"/>
        <w:rPr>
          <w:rFonts w:ascii="仿宋" w:hAnsi="仿宋" w:eastAsia="仿宋" w:cs="仿宋"/>
          <w:b/>
          <w:bCs/>
          <w:sz w:val="32"/>
          <w:szCs w:val="32"/>
          <w:shd w:val="clear" w:color="auto" w:fill="FFFFFF"/>
        </w:rPr>
      </w:pPr>
      <w:r>
        <w:rPr>
          <w:rFonts w:hint="eastAsia" w:ascii="楷体" w:hAnsi="楷体" w:eastAsia="楷体" w:cs="楷体"/>
          <w:b/>
          <w:bCs/>
          <w:sz w:val="32"/>
          <w:szCs w:val="32"/>
          <w:shd w:val="clear" w:color="auto" w:fill="FFFFFF"/>
        </w:rPr>
        <w:t>（二）真实性原则</w:t>
      </w:r>
      <w:r>
        <w:rPr>
          <w:rFonts w:hint="eastAsia" w:ascii="仿宋" w:hAnsi="仿宋" w:eastAsia="仿宋" w:cs="仿宋"/>
          <w:b/>
          <w:bCs/>
          <w:sz w:val="32"/>
          <w:szCs w:val="32"/>
          <w:shd w:val="clear" w:color="auto" w:fill="FFFFFF"/>
        </w:rPr>
        <w:t xml:space="preserve"> </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各项材料要实事求是，不弄虚作假，做到真实可信，有据可查。</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（三）一致性原则</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 xml:space="preserve">全校各部门、各院（部）材料的相关内容，在文字表述和数据上要做到保持一致，避免矛盾与错位。当出现数据和表述不一致时，由负责该项指标的职能部门予以确认和统一。 </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 xml:space="preserve">（四）规范性原则 </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sz w:val="32"/>
          <w:szCs w:val="32"/>
          <w:shd w:val="clear" w:color="auto" w:fill="FFFFFF"/>
        </w:rPr>
        <w:t>材料的收集、整理、撰写、归档、移交等要按照学校统一规范要求进行。</w:t>
      </w:r>
      <w:r>
        <w:rPr>
          <w:rFonts w:hint="eastAsia" w:ascii="仿宋" w:hAnsi="仿宋" w:eastAsia="仿宋" w:cs="仿宋"/>
          <w:kern w:val="0"/>
          <w:sz w:val="32"/>
          <w:szCs w:val="32"/>
        </w:rPr>
        <w:t>所有材料要排列有序、整齐美观、调用方便、查找无误。</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二、材料的构成</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 xml:space="preserve">（一）材料的层级 </w:t>
      </w:r>
    </w:p>
    <w:p>
      <w:pPr>
        <w:spacing w:line="560" w:lineRule="exact"/>
        <w:ind w:firstLine="640" w:firstLineChars="200"/>
        <w:rPr>
          <w:rFonts w:ascii="仿宋" w:hAnsi="仿宋" w:eastAsia="仿宋" w:cs="仿宋"/>
          <w:b/>
          <w:bCs/>
          <w:sz w:val="32"/>
          <w:szCs w:val="32"/>
          <w:shd w:val="clear" w:color="auto" w:fill="FFFFFF"/>
        </w:rPr>
      </w:pPr>
      <w:r>
        <w:rPr>
          <w:rFonts w:ascii="Times New Roman" w:hAnsi="Times New Roman" w:eastAsia="仿宋" w:cs="Times New Roman"/>
          <w:b/>
          <w:bCs/>
          <w:sz w:val="32"/>
          <w:szCs w:val="32"/>
          <w:shd w:val="clear" w:color="auto" w:fill="FFFFFF"/>
        </w:rPr>
        <w:t>1</w:t>
      </w:r>
      <w:r>
        <w:rPr>
          <w:rFonts w:hint="eastAsia" w:ascii="仿宋" w:hAnsi="仿宋" w:eastAsia="仿宋" w:cs="仿宋"/>
          <w:b/>
          <w:bCs/>
          <w:sz w:val="32"/>
          <w:szCs w:val="32"/>
          <w:shd w:val="clear" w:color="auto" w:fill="FFFFFF"/>
        </w:rPr>
        <w:t xml:space="preserve">.学校层面的材料 </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学校组织填报的教学质量监测数据、撰写的自评报告与校长报告（含</w:t>
      </w:r>
      <w:r>
        <w:rPr>
          <w:rFonts w:ascii="Times New Roman" w:hAnsi="Times New Roman" w:eastAsia="仿宋" w:cs="Times New Roman"/>
          <w:sz w:val="32"/>
          <w:szCs w:val="32"/>
          <w:shd w:val="clear" w:color="auto" w:fill="FFFFFF"/>
        </w:rPr>
        <w:t>PPT</w:t>
      </w:r>
      <w:r>
        <w:rPr>
          <w:rFonts w:hint="eastAsia" w:ascii="仿宋" w:hAnsi="仿宋" w:eastAsia="仿宋" w:cs="仿宋"/>
          <w:sz w:val="32"/>
          <w:szCs w:val="32"/>
          <w:shd w:val="clear" w:color="auto" w:fill="FFFFFF"/>
        </w:rPr>
        <w:t>）、报交给国务院教育督导委员会办公室的材料、对照评估指标体系编制的支撑材料、制作的宣传片、编制的专家手册等。</w:t>
      </w:r>
    </w:p>
    <w:p>
      <w:pPr>
        <w:spacing w:line="560" w:lineRule="exact"/>
        <w:ind w:firstLine="640" w:firstLineChars="200"/>
        <w:rPr>
          <w:rFonts w:ascii="仿宋" w:hAnsi="仿宋" w:eastAsia="仿宋" w:cs="仿宋"/>
          <w:b/>
          <w:bCs/>
          <w:sz w:val="32"/>
          <w:szCs w:val="32"/>
          <w:shd w:val="clear" w:color="auto" w:fill="FFFFFF"/>
        </w:rPr>
      </w:pPr>
      <w:r>
        <w:rPr>
          <w:rFonts w:ascii="Times New Roman" w:hAnsi="Times New Roman" w:eastAsia="仿宋" w:cs="Times New Roman"/>
          <w:b/>
          <w:bCs/>
          <w:sz w:val="32"/>
          <w:szCs w:val="32"/>
          <w:shd w:val="clear" w:color="auto" w:fill="FFFFFF"/>
        </w:rPr>
        <w:t>2</w:t>
      </w:r>
      <w:r>
        <w:rPr>
          <w:rFonts w:hint="eastAsia" w:ascii="仿宋" w:hAnsi="仿宋" w:eastAsia="仿宋" w:cs="仿宋"/>
          <w:b/>
          <w:bCs/>
          <w:sz w:val="32"/>
          <w:szCs w:val="32"/>
          <w:shd w:val="clear" w:color="auto" w:fill="FFFFFF"/>
        </w:rPr>
        <w:t xml:space="preserve">.院（部）层面的材料 </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院（部）自评报告、汇报材料（含</w:t>
      </w:r>
      <w:r>
        <w:rPr>
          <w:rFonts w:ascii="Times New Roman" w:hAnsi="Times New Roman" w:eastAsia="仿宋" w:cs="Times New Roman"/>
          <w:sz w:val="32"/>
          <w:szCs w:val="32"/>
          <w:shd w:val="clear" w:color="auto" w:fill="FFFFFF"/>
        </w:rPr>
        <w:t>PPT</w:t>
      </w:r>
      <w:r>
        <w:rPr>
          <w:rFonts w:hint="eastAsia" w:ascii="仿宋" w:hAnsi="仿宋" w:eastAsia="仿宋" w:cs="仿宋"/>
          <w:sz w:val="32"/>
          <w:szCs w:val="32"/>
          <w:shd w:val="clear" w:color="auto" w:fill="FFFFFF"/>
        </w:rPr>
        <w:t>）；按照评估指标体系建立的院（部）级材料体系；各类原始材料（包括课程档案、学生试卷、实习报告、毕业设计（论文）等）。</w:t>
      </w:r>
    </w:p>
    <w:p>
      <w:pPr>
        <w:spacing w:line="560" w:lineRule="exact"/>
        <w:ind w:firstLine="640" w:firstLineChars="200"/>
        <w:rPr>
          <w:rFonts w:ascii="仿宋" w:hAnsi="仿宋" w:eastAsia="仿宋" w:cs="仿宋"/>
          <w:sz w:val="32"/>
          <w:szCs w:val="32"/>
          <w:shd w:val="clear" w:color="auto" w:fill="FFFFFF"/>
        </w:rPr>
      </w:pPr>
      <w:r>
        <w:rPr>
          <w:rFonts w:ascii="Times New Roman" w:hAnsi="Times New Roman" w:eastAsia="仿宋" w:cs="Times New Roman"/>
          <w:b/>
          <w:bCs/>
          <w:sz w:val="32"/>
          <w:szCs w:val="32"/>
          <w:shd w:val="clear" w:color="auto" w:fill="FFFFFF"/>
        </w:rPr>
        <w:t>3</w:t>
      </w:r>
      <w:r>
        <w:rPr>
          <w:rFonts w:hint="eastAsia" w:ascii="仿宋" w:hAnsi="仿宋" w:eastAsia="仿宋" w:cs="仿宋"/>
          <w:b/>
          <w:bCs/>
          <w:sz w:val="32"/>
          <w:szCs w:val="32"/>
          <w:shd w:val="clear" w:color="auto" w:fill="FFFFFF"/>
        </w:rPr>
        <w:t>.职能部门层面的材料</w:t>
      </w:r>
      <w:r>
        <w:rPr>
          <w:rFonts w:hint="eastAsia" w:ascii="仿宋" w:hAnsi="仿宋" w:eastAsia="仿宋" w:cs="仿宋"/>
          <w:sz w:val="32"/>
          <w:szCs w:val="32"/>
          <w:shd w:val="clear" w:color="auto" w:fill="FFFFFF"/>
        </w:rPr>
        <w:t xml:space="preserve">  </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各部门归口负责的支撑材料及对应的原始材料等。</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 xml:space="preserve">（二）材料的类别 </w:t>
      </w:r>
    </w:p>
    <w:p>
      <w:pPr>
        <w:spacing w:line="560" w:lineRule="exact"/>
        <w:ind w:firstLine="640" w:firstLineChars="200"/>
        <w:rPr>
          <w:rFonts w:ascii="仿宋" w:hAnsi="仿宋" w:eastAsia="仿宋" w:cs="仿宋"/>
          <w:b/>
          <w:bCs/>
          <w:sz w:val="32"/>
          <w:szCs w:val="32"/>
          <w:shd w:val="clear" w:color="auto" w:fill="FFFFFF"/>
        </w:rPr>
      </w:pPr>
      <w:r>
        <w:rPr>
          <w:rFonts w:ascii="Times New Roman" w:hAnsi="Times New Roman" w:eastAsia="仿宋" w:cs="Times New Roman"/>
          <w:b/>
          <w:bCs/>
          <w:sz w:val="32"/>
          <w:szCs w:val="32"/>
          <w:shd w:val="clear" w:color="auto" w:fill="FFFFFF"/>
        </w:rPr>
        <w:t>1</w:t>
      </w:r>
      <w:r>
        <w:rPr>
          <w:rFonts w:hint="eastAsia" w:ascii="仿宋" w:hAnsi="仿宋" w:eastAsia="仿宋" w:cs="仿宋"/>
          <w:b/>
          <w:bCs/>
          <w:sz w:val="32"/>
          <w:szCs w:val="32"/>
          <w:shd w:val="clear" w:color="auto" w:fill="FFFFFF"/>
        </w:rPr>
        <w:t>.报送材料</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报送材料是学校组织填报的教学质量监测数据，撰写的自评报告，本科教学质量报告，国务院教育督导委员会办公室通知要求提前报送的支撑材料，专家工作手册和专家案头材料（含学校机构设置、学校规划、学校领导与中层领导简介、评估指标体系支撑材料目录、教职工名册、课表、试卷和论文名录、实习基地一览表、特色项目材料、联络员信息等）。此项材料需上报教育部或呈送到专家手头，具体材料以国务院教育督导委员会办公室下发的通知为准。</w:t>
      </w:r>
    </w:p>
    <w:p>
      <w:pPr>
        <w:spacing w:line="560" w:lineRule="exact"/>
        <w:ind w:firstLine="640" w:firstLineChars="200"/>
        <w:rPr>
          <w:rFonts w:ascii="仿宋" w:hAnsi="仿宋" w:eastAsia="仿宋" w:cs="仿宋"/>
          <w:b/>
          <w:bCs/>
          <w:sz w:val="32"/>
          <w:szCs w:val="32"/>
          <w:shd w:val="clear" w:color="auto" w:fill="FFFFFF"/>
        </w:rPr>
      </w:pPr>
      <w:r>
        <w:rPr>
          <w:rFonts w:ascii="Times New Roman" w:hAnsi="Times New Roman" w:eastAsia="仿宋" w:cs="Times New Roman"/>
          <w:b/>
          <w:bCs/>
          <w:sz w:val="32"/>
          <w:szCs w:val="32"/>
          <w:shd w:val="clear" w:color="auto" w:fill="FFFFFF"/>
        </w:rPr>
        <w:t>2</w:t>
      </w:r>
      <w:r>
        <w:rPr>
          <w:rFonts w:hint="eastAsia" w:ascii="仿宋" w:hAnsi="仿宋" w:eastAsia="仿宋" w:cs="仿宋"/>
          <w:b/>
          <w:bCs/>
          <w:sz w:val="32"/>
          <w:szCs w:val="32"/>
          <w:shd w:val="clear" w:color="auto" w:fill="FFFFFF"/>
        </w:rPr>
        <w:t>.指标体系支撑材料</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支撑材料是学校围绕合格评估指标体系各级指标内涵建立的各项支撑材料。支撑材料目录中的各项材料，大多是通过对原始材料进行一定加工、提炼后形成，包括综述材料和数据一览表等分析文件。此项材料是针对各观测点的综述、总结、综合分析或说明等，是专为评估而撰写的相应材料，也是专家进校后重点查阅的材料之一。校级的支撑材料存放于评建工作办公室，各部门、各院（部）的支撑材料存放于本单位。</w:t>
      </w:r>
    </w:p>
    <w:p>
      <w:pPr>
        <w:spacing w:line="560" w:lineRule="exact"/>
        <w:ind w:firstLine="640" w:firstLineChars="200"/>
        <w:rPr>
          <w:rFonts w:ascii="仿宋" w:hAnsi="仿宋" w:eastAsia="仿宋" w:cs="仿宋"/>
          <w:b/>
          <w:bCs/>
          <w:sz w:val="32"/>
          <w:szCs w:val="32"/>
          <w:shd w:val="clear" w:color="auto" w:fill="FFFFFF"/>
        </w:rPr>
      </w:pPr>
      <w:r>
        <w:rPr>
          <w:rFonts w:ascii="Times New Roman" w:hAnsi="Times New Roman" w:eastAsia="仿宋" w:cs="Times New Roman"/>
          <w:b/>
          <w:bCs/>
          <w:sz w:val="32"/>
          <w:szCs w:val="32"/>
          <w:shd w:val="clear" w:color="auto" w:fill="FFFFFF"/>
        </w:rPr>
        <w:t>3</w:t>
      </w:r>
      <w:r>
        <w:rPr>
          <w:rFonts w:hint="eastAsia" w:ascii="仿宋" w:hAnsi="仿宋" w:eastAsia="仿宋" w:cs="仿宋"/>
          <w:b/>
          <w:bCs/>
          <w:sz w:val="32"/>
          <w:szCs w:val="32"/>
          <w:shd w:val="clear" w:color="auto" w:fill="FFFFFF"/>
        </w:rPr>
        <w:t>.原始材料</w:t>
      </w:r>
    </w:p>
    <w:p>
      <w:pPr>
        <w:spacing w:line="56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原始材料是在工作过程中产生的各类足以证明各观测点支撑材料的原始文件、活动记录、照片、印刷材料等更为详实具体的工作材料，是在工作过程中自然形成的。此项材料重在日常的收集与整理，一方面是支撑材料的佐证，另一方面则是对学校工作过程的记录。各部门、各院（部）应留存原始材料，并对原始材料进行整理编目，方便专家进校后随时调阅。</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 xml:space="preserve">（三）材料的种类 </w:t>
      </w:r>
    </w:p>
    <w:p>
      <w:pPr>
        <w:spacing w:line="560" w:lineRule="exact"/>
        <w:ind w:firstLine="640" w:firstLineChars="200"/>
        <w:rPr>
          <w:rFonts w:ascii="仿宋" w:hAnsi="仿宋" w:eastAsia="仿宋" w:cs="仿宋"/>
          <w:b/>
          <w:bCs/>
          <w:sz w:val="32"/>
          <w:szCs w:val="32"/>
        </w:rPr>
      </w:pPr>
      <w:r>
        <w:rPr>
          <w:rFonts w:ascii="Times New Roman" w:hAnsi="Times New Roman" w:eastAsia="仿宋" w:cs="Times New Roman"/>
          <w:b/>
          <w:bCs/>
          <w:sz w:val="32"/>
          <w:szCs w:val="32"/>
        </w:rPr>
        <w:t>1</w:t>
      </w:r>
      <w:r>
        <w:rPr>
          <w:rFonts w:hint="eastAsia" w:ascii="仿宋" w:hAnsi="仿宋" w:eastAsia="仿宋" w:cs="仿宋"/>
          <w:b/>
          <w:bCs/>
          <w:sz w:val="32"/>
          <w:szCs w:val="32"/>
        </w:rPr>
        <w:t>.文字材料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指文件、规划、方案、纪要、规章制度、工作计划和总结、记录及教学基本文件和教学档案等。</w:t>
      </w:r>
    </w:p>
    <w:p>
      <w:pPr>
        <w:spacing w:line="560" w:lineRule="exact"/>
        <w:ind w:firstLine="640" w:firstLineChars="200"/>
        <w:rPr>
          <w:rFonts w:ascii="仿宋" w:hAnsi="仿宋" w:eastAsia="仿宋" w:cs="仿宋"/>
          <w:b/>
          <w:bCs/>
          <w:sz w:val="32"/>
          <w:szCs w:val="32"/>
        </w:rPr>
      </w:pPr>
      <w:r>
        <w:rPr>
          <w:rFonts w:ascii="Times New Roman" w:hAnsi="Times New Roman" w:eastAsia="仿宋" w:cs="Times New Roman"/>
          <w:b/>
          <w:bCs/>
          <w:sz w:val="32"/>
          <w:szCs w:val="32"/>
        </w:rPr>
        <w:t>2</w:t>
      </w:r>
      <w:r>
        <w:rPr>
          <w:rFonts w:hint="eastAsia" w:ascii="仿宋" w:hAnsi="仿宋" w:eastAsia="仿宋" w:cs="仿宋"/>
          <w:b/>
          <w:bCs/>
          <w:sz w:val="32"/>
          <w:szCs w:val="32"/>
        </w:rPr>
        <w:t>.统计材料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指各类数据统计表格、报表和名册。</w:t>
      </w:r>
    </w:p>
    <w:p>
      <w:pPr>
        <w:spacing w:line="560" w:lineRule="exact"/>
        <w:ind w:firstLine="640" w:firstLineChars="200"/>
        <w:rPr>
          <w:rFonts w:ascii="仿宋" w:hAnsi="仿宋" w:eastAsia="仿宋" w:cs="仿宋"/>
          <w:b/>
          <w:bCs/>
          <w:sz w:val="32"/>
          <w:szCs w:val="32"/>
        </w:rPr>
      </w:pPr>
      <w:r>
        <w:rPr>
          <w:rFonts w:ascii="Times New Roman" w:hAnsi="Times New Roman" w:eastAsia="仿宋" w:cs="Times New Roman"/>
          <w:b/>
          <w:bCs/>
          <w:sz w:val="32"/>
          <w:szCs w:val="32"/>
        </w:rPr>
        <w:t>3</w:t>
      </w:r>
      <w:r>
        <w:rPr>
          <w:rFonts w:hint="eastAsia" w:ascii="仿宋" w:hAnsi="仿宋" w:eastAsia="仿宋" w:cs="仿宋"/>
          <w:b/>
          <w:bCs/>
          <w:sz w:val="32"/>
          <w:szCs w:val="32"/>
        </w:rPr>
        <w:t>.声像材料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指各项活动照片、录像带、光盘等。</w:t>
      </w:r>
    </w:p>
    <w:p>
      <w:pPr>
        <w:spacing w:line="560" w:lineRule="exact"/>
        <w:ind w:firstLine="640" w:firstLineChars="200"/>
        <w:rPr>
          <w:rFonts w:ascii="仿宋" w:hAnsi="仿宋" w:eastAsia="仿宋" w:cs="仿宋"/>
          <w:b/>
          <w:bCs/>
          <w:sz w:val="32"/>
          <w:szCs w:val="32"/>
        </w:rPr>
      </w:pPr>
      <w:r>
        <w:rPr>
          <w:rFonts w:ascii="Times New Roman" w:hAnsi="Times New Roman" w:eastAsia="仿宋" w:cs="Times New Roman"/>
          <w:b/>
          <w:bCs/>
          <w:sz w:val="32"/>
          <w:szCs w:val="32"/>
        </w:rPr>
        <w:t>4</w:t>
      </w:r>
      <w:r>
        <w:rPr>
          <w:rFonts w:hint="eastAsia" w:ascii="仿宋" w:hAnsi="仿宋" w:eastAsia="仿宋" w:cs="仿宋"/>
          <w:b/>
          <w:bCs/>
          <w:sz w:val="32"/>
          <w:szCs w:val="32"/>
        </w:rPr>
        <w:t>.证书材料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指各级聘书、荣誉证书、获奖证书、成果鉴定证书、锦旗、奖杯等。</w:t>
      </w:r>
    </w:p>
    <w:p>
      <w:pPr>
        <w:spacing w:line="560" w:lineRule="exact"/>
        <w:ind w:firstLine="640" w:firstLineChars="200"/>
        <w:rPr>
          <w:rFonts w:ascii="Times New Roman" w:hAnsi="Times New Roman" w:eastAsia="仿宋" w:cs="Times New Roman"/>
          <w:b/>
          <w:bCs/>
          <w:sz w:val="32"/>
          <w:szCs w:val="32"/>
        </w:rPr>
      </w:pPr>
    </w:p>
    <w:p>
      <w:pPr>
        <w:spacing w:line="560" w:lineRule="exact"/>
        <w:ind w:firstLine="640" w:firstLineChars="200"/>
        <w:rPr>
          <w:rFonts w:ascii="仿宋" w:hAnsi="仿宋" w:eastAsia="仿宋" w:cs="仿宋"/>
          <w:b/>
          <w:bCs/>
          <w:sz w:val="32"/>
          <w:szCs w:val="32"/>
        </w:rPr>
      </w:pPr>
      <w:r>
        <w:rPr>
          <w:rFonts w:ascii="Times New Roman" w:hAnsi="Times New Roman" w:eastAsia="仿宋" w:cs="Times New Roman"/>
          <w:b/>
          <w:bCs/>
          <w:sz w:val="32"/>
          <w:szCs w:val="32"/>
        </w:rPr>
        <w:t>5</w:t>
      </w:r>
      <w:r>
        <w:rPr>
          <w:rFonts w:hint="eastAsia" w:ascii="仿宋" w:hAnsi="仿宋" w:eastAsia="仿宋" w:cs="仿宋"/>
          <w:b/>
          <w:bCs/>
          <w:sz w:val="32"/>
          <w:szCs w:val="32"/>
        </w:rPr>
        <w:t>.实物材料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指各类获奖作品、科技作品、著作、教材、高级别论文期刊等。</w:t>
      </w:r>
    </w:p>
    <w:p>
      <w:pPr>
        <w:spacing w:line="560" w:lineRule="exact"/>
        <w:ind w:firstLine="640" w:firstLineChars="200"/>
        <w:rPr>
          <w:rFonts w:ascii="仿宋" w:hAnsi="仿宋" w:eastAsia="仿宋" w:cs="仿宋"/>
          <w:b/>
          <w:bCs/>
          <w:sz w:val="32"/>
          <w:szCs w:val="32"/>
        </w:rPr>
      </w:pPr>
      <w:r>
        <w:rPr>
          <w:rFonts w:ascii="Times New Roman" w:hAnsi="Times New Roman" w:eastAsia="仿宋" w:cs="Times New Roman"/>
          <w:b/>
          <w:bCs/>
          <w:sz w:val="32"/>
          <w:szCs w:val="32"/>
        </w:rPr>
        <w:t>6</w:t>
      </w:r>
      <w:r>
        <w:rPr>
          <w:rFonts w:hint="eastAsia" w:ascii="仿宋" w:hAnsi="仿宋" w:eastAsia="仿宋" w:cs="仿宋"/>
          <w:b/>
          <w:bCs/>
          <w:sz w:val="32"/>
          <w:szCs w:val="32"/>
        </w:rPr>
        <w:t>.其他材料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指能反映教学工作水平和人才培养质量的其他类型材料。</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三、材料的整理</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（一）原始材料整理</w:t>
      </w:r>
    </w:p>
    <w:p>
      <w:pPr>
        <w:spacing w:line="560" w:lineRule="exact"/>
        <w:ind w:firstLine="640" w:firstLineChars="200"/>
        <w:rPr>
          <w:rFonts w:ascii="仿宋" w:hAnsi="仿宋" w:eastAsia="仿宋" w:cs="仿宋"/>
          <w:kern w:val="0"/>
          <w:sz w:val="32"/>
          <w:szCs w:val="32"/>
        </w:rPr>
      </w:pPr>
      <w:r>
        <w:rPr>
          <w:rFonts w:ascii="Times New Roman" w:hAnsi="Times New Roman" w:eastAsia="仿宋" w:cs="Times New Roman"/>
          <w:b/>
          <w:bCs/>
          <w:sz w:val="32"/>
          <w:szCs w:val="32"/>
        </w:rPr>
        <w:t>1</w:t>
      </w:r>
      <w:r>
        <w:rPr>
          <w:rFonts w:hint="eastAsia" w:ascii="仿宋" w:hAnsi="仿宋" w:eastAsia="仿宋" w:cs="仿宋"/>
          <w:b/>
          <w:bCs/>
          <w:sz w:val="32"/>
          <w:szCs w:val="32"/>
        </w:rPr>
        <w:t>.原始材料的存放</w:t>
      </w:r>
    </w:p>
    <w:p>
      <w:pPr>
        <w:widowControl/>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原始材料按照原形态存放,以体现材料的真实性。原始材料不要求纸张型号，纸质脆弱不便保存的材料可粘贴在A4纸张上存放。</w:t>
      </w:r>
    </w:p>
    <w:p>
      <w:pPr>
        <w:spacing w:line="560" w:lineRule="exact"/>
        <w:ind w:firstLine="640" w:firstLineChars="200"/>
        <w:rPr>
          <w:rFonts w:ascii="仿宋" w:hAnsi="仿宋" w:eastAsia="仿宋" w:cs="仿宋"/>
          <w:b/>
          <w:bCs/>
          <w:sz w:val="32"/>
          <w:szCs w:val="32"/>
        </w:rPr>
      </w:pPr>
      <w:r>
        <w:rPr>
          <w:rFonts w:ascii="Times New Roman" w:hAnsi="Times New Roman" w:eastAsia="仿宋" w:cs="Times New Roman"/>
          <w:b/>
          <w:bCs/>
          <w:sz w:val="32"/>
          <w:szCs w:val="32"/>
        </w:rPr>
        <w:t>2</w:t>
      </w:r>
      <w:r>
        <w:rPr>
          <w:rFonts w:hint="eastAsia" w:ascii="仿宋" w:hAnsi="仿宋" w:eastAsia="仿宋" w:cs="仿宋"/>
          <w:b/>
          <w:bCs/>
          <w:sz w:val="32"/>
          <w:szCs w:val="32"/>
        </w:rPr>
        <w:t xml:space="preserve">.原始材料的整理 </w:t>
      </w:r>
    </w:p>
    <w:p>
      <w:pPr>
        <w:widowControl/>
        <w:spacing w:line="560" w:lineRule="exact"/>
        <w:ind w:firstLine="640" w:firstLineChars="200"/>
        <w:rPr>
          <w:rFonts w:ascii="仿宋" w:hAnsi="仿宋" w:eastAsia="仿宋" w:cs="仿宋"/>
          <w:b/>
          <w:bCs/>
          <w:kern w:val="0"/>
          <w:sz w:val="32"/>
          <w:szCs w:val="32"/>
        </w:rPr>
      </w:pPr>
      <w:r>
        <w:rPr>
          <w:rFonts w:hint="eastAsia" w:ascii="Times New Roman" w:hAnsi="Times New Roman" w:eastAsia="仿宋" w:cs="仿宋"/>
          <w:b/>
          <w:bCs/>
          <w:kern w:val="0"/>
          <w:sz w:val="32"/>
          <w:szCs w:val="32"/>
        </w:rPr>
        <w:t>（1）</w:t>
      </w:r>
      <w:r>
        <w:rPr>
          <w:rFonts w:hint="eastAsia" w:ascii="仿宋" w:hAnsi="仿宋" w:eastAsia="仿宋" w:cs="仿宋"/>
          <w:b/>
          <w:bCs/>
          <w:kern w:val="0"/>
          <w:sz w:val="32"/>
          <w:szCs w:val="32"/>
        </w:rPr>
        <w:t xml:space="preserve">原始文字材料整理 </w:t>
      </w:r>
    </w:p>
    <w:p>
      <w:pPr>
        <w:widowControl/>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文件、规划、方案、纪要、规章制度、工作计划、工作总结等资料，要按自然年度进行分类；属于教学活动中形成的原始材料（如学生试卷、成绩、毕业设计（论文）等）要按照教学年度（学期）进行分类。所有材料要求分类准确，编目清楚，整齐美观。 </w:t>
      </w:r>
    </w:p>
    <w:p>
      <w:pPr>
        <w:widowControl/>
        <w:spacing w:line="560" w:lineRule="exact"/>
        <w:ind w:firstLine="640" w:firstLineChars="200"/>
        <w:rPr>
          <w:rFonts w:ascii="仿宋" w:hAnsi="仿宋" w:eastAsia="仿宋" w:cs="仿宋"/>
          <w:kern w:val="0"/>
          <w:sz w:val="32"/>
          <w:szCs w:val="32"/>
        </w:rPr>
      </w:pPr>
      <w:r>
        <w:rPr>
          <w:rFonts w:hint="eastAsia" w:ascii="Times New Roman" w:hAnsi="Times New Roman" w:eastAsia="仿宋" w:cs="仿宋"/>
          <w:b/>
          <w:bCs/>
          <w:kern w:val="0"/>
          <w:sz w:val="32"/>
          <w:szCs w:val="32"/>
        </w:rPr>
        <w:t>（2）</w:t>
      </w:r>
      <w:r>
        <w:rPr>
          <w:rFonts w:hint="eastAsia" w:ascii="仿宋" w:hAnsi="仿宋" w:eastAsia="仿宋" w:cs="仿宋"/>
          <w:b/>
          <w:bCs/>
          <w:kern w:val="0"/>
          <w:sz w:val="32"/>
          <w:szCs w:val="32"/>
        </w:rPr>
        <w:t>声像、证书、实物材料整理</w:t>
      </w:r>
      <w:r>
        <w:rPr>
          <w:rFonts w:hint="eastAsia" w:ascii="仿宋" w:hAnsi="仿宋" w:eastAsia="仿宋" w:cs="仿宋"/>
          <w:kern w:val="0"/>
          <w:sz w:val="32"/>
          <w:szCs w:val="32"/>
        </w:rPr>
        <w:t xml:space="preserve"> </w:t>
      </w:r>
    </w:p>
    <w:p>
      <w:pPr>
        <w:widowControl/>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照片、影视带（盘）、</w:t>
      </w:r>
      <w:r>
        <w:rPr>
          <w:rFonts w:ascii="Times New Roman" w:hAnsi="Times New Roman" w:eastAsia="仿宋" w:cs="Times New Roman"/>
          <w:kern w:val="0"/>
          <w:sz w:val="32"/>
          <w:szCs w:val="32"/>
        </w:rPr>
        <w:t>U</w:t>
      </w:r>
      <w:r>
        <w:rPr>
          <w:rFonts w:hint="eastAsia" w:ascii="仿宋" w:hAnsi="仿宋" w:eastAsia="仿宋" w:cs="仿宋"/>
          <w:kern w:val="0"/>
          <w:sz w:val="32"/>
          <w:szCs w:val="32"/>
        </w:rPr>
        <w:t>盘等声像材料装袋（盒）后分类保存，并标明内容与数量。各类证书由收集部门准备好扫描件和复印件。获奖作品、科技作品等实物材料须拍制照片或扫描, 著作、教材须复印封面和版权页, 论文须复印封面、目录和正文。所有声像、证书、实物材料要列出目录清单，原件留存在本单位或教工本人处备查。</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（二）新建材料整理</w:t>
      </w:r>
    </w:p>
    <w:p>
      <w:pPr>
        <w:widowControl/>
        <w:spacing w:line="560" w:lineRule="exact"/>
        <w:ind w:firstLine="640" w:firstLineChars="200"/>
        <w:rPr>
          <w:rFonts w:ascii="仿宋" w:hAnsi="仿宋" w:eastAsia="仿宋" w:cs="仿宋"/>
          <w:b/>
          <w:bCs/>
          <w:kern w:val="0"/>
          <w:sz w:val="32"/>
          <w:szCs w:val="32"/>
        </w:rPr>
      </w:pPr>
      <w:r>
        <w:rPr>
          <w:rFonts w:ascii="Times New Roman" w:hAnsi="Times New Roman" w:eastAsia="仿宋" w:cs="Times New Roman"/>
          <w:b/>
          <w:bCs/>
          <w:kern w:val="0"/>
          <w:sz w:val="32"/>
          <w:szCs w:val="32"/>
        </w:rPr>
        <w:t>1</w:t>
      </w:r>
      <w:r>
        <w:rPr>
          <w:rFonts w:hint="eastAsia" w:ascii="仿宋" w:hAnsi="仿宋" w:eastAsia="仿宋" w:cs="仿宋"/>
          <w:b/>
          <w:bCs/>
          <w:kern w:val="0"/>
          <w:sz w:val="32"/>
          <w:szCs w:val="32"/>
        </w:rPr>
        <w:t>.文字材料</w:t>
      </w:r>
    </w:p>
    <w:p>
      <w:pPr>
        <w:spacing w:line="560" w:lineRule="exact"/>
        <w:ind w:firstLine="539"/>
        <w:rPr>
          <w:rFonts w:ascii="Times New Roman" w:hAnsi="Times New Roman" w:eastAsia="仿宋" w:cs="仿宋"/>
          <w:kern w:val="0"/>
          <w:sz w:val="32"/>
          <w:szCs w:val="32"/>
        </w:rPr>
      </w:pPr>
      <w:r>
        <w:rPr>
          <w:rFonts w:hint="eastAsia" w:ascii="仿宋" w:hAnsi="仿宋" w:eastAsia="仿宋" w:cs="仿宋"/>
          <w:spacing w:val="-4"/>
          <w:kern w:val="0"/>
          <w:sz w:val="32"/>
          <w:szCs w:val="32"/>
        </w:rPr>
        <w:t>新建文字材料采用</w:t>
      </w:r>
      <w:r>
        <w:rPr>
          <w:rFonts w:ascii="Times New Roman" w:hAnsi="Times New Roman" w:eastAsia="仿宋" w:cs="Times New Roman"/>
          <w:spacing w:val="-4"/>
          <w:kern w:val="0"/>
          <w:sz w:val="32"/>
          <w:szCs w:val="32"/>
        </w:rPr>
        <w:t>Word</w:t>
      </w:r>
      <w:r>
        <w:rPr>
          <w:rFonts w:hint="eastAsia" w:ascii="仿宋" w:hAnsi="仿宋" w:eastAsia="仿宋" w:cs="仿宋"/>
          <w:spacing w:val="-4"/>
          <w:kern w:val="0"/>
          <w:sz w:val="32"/>
          <w:szCs w:val="32"/>
        </w:rPr>
        <w:t>文档。</w:t>
      </w:r>
    </w:p>
    <w:p>
      <w:pPr>
        <w:spacing w:line="560" w:lineRule="exact"/>
        <w:ind w:firstLine="539"/>
        <w:rPr>
          <w:rFonts w:eastAsia="仿宋"/>
          <w:b/>
          <w:bCs/>
          <w:sz w:val="32"/>
          <w:szCs w:val="32"/>
          <w:vertAlign w:val="subscript"/>
        </w:rPr>
      </w:pPr>
      <w:r>
        <w:rPr>
          <w:rFonts w:hint="eastAsia" w:ascii="Times New Roman" w:hAnsi="Times New Roman" w:eastAsia="仿宋" w:cs="仿宋"/>
          <w:b/>
          <w:bCs/>
          <w:kern w:val="0"/>
          <w:sz w:val="32"/>
          <w:szCs w:val="32"/>
        </w:rPr>
        <w:t>（1）</w:t>
      </w:r>
      <w:r>
        <w:rPr>
          <w:rFonts w:hint="eastAsia" w:eastAsia="仿宋"/>
          <w:b/>
          <w:bCs/>
          <w:sz w:val="32"/>
          <w:szCs w:val="32"/>
        </w:rPr>
        <w:t>版面设置</w:t>
      </w:r>
    </w:p>
    <w:p>
      <w:pPr>
        <w:widowControl/>
        <w:spacing w:line="560" w:lineRule="exact"/>
        <w:ind w:firstLine="624" w:firstLineChars="200"/>
        <w:rPr>
          <w:rFonts w:ascii="仿宋" w:hAnsi="仿宋" w:eastAsia="仿宋" w:cs="仿宋"/>
          <w:spacing w:val="-4"/>
          <w:kern w:val="0"/>
          <w:sz w:val="32"/>
          <w:szCs w:val="32"/>
        </w:rPr>
      </w:pPr>
      <w:r>
        <w:rPr>
          <w:rFonts w:hint="eastAsia" w:ascii="仿宋" w:hAnsi="仿宋" w:eastAsia="仿宋" w:cs="仿宋"/>
          <w:spacing w:val="-4"/>
          <w:kern w:val="0"/>
          <w:sz w:val="32"/>
          <w:szCs w:val="32"/>
        </w:rPr>
        <w:t>纸张：采用</w:t>
      </w:r>
      <w:r>
        <w:rPr>
          <w:rFonts w:hint="eastAsia" w:ascii="Times New Roman" w:hAnsi="Times New Roman" w:eastAsia="仿宋" w:cs="仿宋"/>
          <w:kern w:val="0"/>
          <w:sz w:val="32"/>
          <w:szCs w:val="32"/>
        </w:rPr>
        <w:t>标准A4纸，幅面白色。</w:t>
      </w:r>
    </w:p>
    <w:p>
      <w:pPr>
        <w:widowControl/>
        <w:spacing w:line="560" w:lineRule="exact"/>
        <w:ind w:firstLine="624" w:firstLineChars="200"/>
        <w:rPr>
          <w:rFonts w:ascii="Times New Roman" w:hAnsi="Times New Roman" w:eastAsia="仿宋" w:cs="仿宋"/>
          <w:kern w:val="0"/>
          <w:sz w:val="32"/>
          <w:szCs w:val="32"/>
        </w:rPr>
      </w:pPr>
      <w:r>
        <w:rPr>
          <w:rFonts w:hint="eastAsia" w:ascii="仿宋" w:hAnsi="仿宋" w:eastAsia="仿宋" w:cs="仿宋"/>
          <w:spacing w:val="-4"/>
          <w:kern w:val="0"/>
          <w:sz w:val="32"/>
          <w:szCs w:val="32"/>
        </w:rPr>
        <w:t>页面设置：</w:t>
      </w:r>
      <w:r>
        <w:rPr>
          <w:rFonts w:hint="eastAsia" w:ascii="Times New Roman" w:hAnsi="Times New Roman" w:eastAsia="仿宋" w:cs="仿宋"/>
          <w:kern w:val="0"/>
          <w:sz w:val="32"/>
          <w:szCs w:val="32"/>
        </w:rPr>
        <w:t>页边距为上2.5厘米，下2.5厘米，左2.8厘米，右2.6厘米；装订线位置左侧，装订线宽0厘米；页眉1.5厘米，页脚1.1厘米。</w:t>
      </w:r>
    </w:p>
    <w:p>
      <w:pPr>
        <w:widowControl/>
        <w:spacing w:line="560" w:lineRule="exact"/>
        <w:ind w:firstLine="640" w:firstLineChars="200"/>
        <w:jc w:val="left"/>
        <w:rPr>
          <w:rFonts w:ascii="Times New Roman" w:hAnsi="Times New Roman" w:eastAsia="仿宋" w:cs="仿宋"/>
          <w:kern w:val="0"/>
          <w:sz w:val="32"/>
          <w:szCs w:val="32"/>
        </w:rPr>
      </w:pPr>
      <w:r>
        <w:rPr>
          <w:rFonts w:hint="eastAsia" w:ascii="Times New Roman" w:hAnsi="Times New Roman" w:eastAsia="仿宋" w:cs="仿宋"/>
          <w:kern w:val="0"/>
          <w:sz w:val="32"/>
          <w:szCs w:val="32"/>
        </w:rPr>
        <w:t>页码：超过1页的文档须添加页码，页码格式为“1、2、3、</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”，Times New Roman字体小五号字，页面底端居中。</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打印：一般材料采用纵向双面打印（表格等需要横向打印的除外）。</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装订：50页以下的材料一般使用订书钉装订，左侧两枚订书钉，在距纵向打印纸上、下边缘约8厘米处各订一订，书钉距纸张左边缘3毫米</w:t>
      </w:r>
      <w:r>
        <w:rPr>
          <w:rFonts w:ascii="Times New Roman" w:hAnsi="Times New Roman" w:eastAsia="仿宋" w:cs="Times New Roman"/>
          <w:kern w:val="0"/>
          <w:sz w:val="32"/>
          <w:szCs w:val="32"/>
        </w:rPr>
        <w:t>~</w:t>
      </w:r>
      <w:r>
        <w:rPr>
          <w:rFonts w:hint="eastAsia" w:ascii="Times New Roman" w:hAnsi="Times New Roman" w:eastAsia="仿宋" w:cs="仿宋"/>
          <w:kern w:val="0"/>
          <w:sz w:val="32"/>
          <w:szCs w:val="32"/>
        </w:rPr>
        <w:t>8毫米；50页以上的材料应胶装。</w:t>
      </w:r>
    </w:p>
    <w:p>
      <w:pPr>
        <w:spacing w:line="560" w:lineRule="exact"/>
        <w:ind w:firstLine="539"/>
        <w:rPr>
          <w:rFonts w:eastAsia="仿宋"/>
          <w:b/>
          <w:bCs/>
          <w:sz w:val="32"/>
          <w:szCs w:val="32"/>
          <w:vertAlign w:val="subscript"/>
        </w:rPr>
      </w:pPr>
      <w:r>
        <w:rPr>
          <w:rFonts w:hint="eastAsia" w:ascii="Times New Roman" w:hAnsi="Times New Roman" w:eastAsia="仿宋" w:cs="仿宋"/>
          <w:b/>
          <w:bCs/>
          <w:kern w:val="0"/>
          <w:sz w:val="32"/>
          <w:szCs w:val="32"/>
        </w:rPr>
        <w:t>（2）</w:t>
      </w:r>
      <w:r>
        <w:rPr>
          <w:rFonts w:hint="eastAsia" w:eastAsia="仿宋"/>
          <w:b/>
          <w:bCs/>
          <w:sz w:val="32"/>
          <w:szCs w:val="32"/>
        </w:rPr>
        <w:t>正文排版</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标题：黑体小二号字加粗（如有副标题、引标题，采用楷体三号字加粗）；标题可分一行或多行居中排布，回行时要做到词意完整，排列对称，行间距为固定值28磅；标题下空一行，空行格式同正文。</w:t>
      </w:r>
    </w:p>
    <w:p>
      <w:pPr>
        <w:widowControl/>
        <w:spacing w:line="560" w:lineRule="exact"/>
        <w:ind w:firstLine="640" w:firstLineChars="200"/>
        <w:rPr>
          <w:rFonts w:ascii="Times New Roman" w:hAnsi="Times New Roman" w:eastAsia="仿宋" w:cs="仿宋"/>
          <w:color w:val="FF0000"/>
          <w:kern w:val="0"/>
          <w:sz w:val="32"/>
          <w:szCs w:val="32"/>
        </w:rPr>
      </w:pPr>
      <w:r>
        <w:rPr>
          <w:rFonts w:hint="eastAsia" w:ascii="Times New Roman" w:hAnsi="Times New Roman" w:eastAsia="仿宋" w:cs="仿宋"/>
          <w:kern w:val="0"/>
          <w:sz w:val="32"/>
          <w:szCs w:val="32"/>
        </w:rPr>
        <w:t>一级标题：黑体三号字，左缩进2字符，行间距为固定值28磅，序号：一、二、三、……。</w:t>
      </w:r>
    </w:p>
    <w:p>
      <w:pPr>
        <w:widowControl/>
        <w:spacing w:line="560" w:lineRule="exact"/>
        <w:ind w:firstLine="640" w:firstLineChars="200"/>
        <w:rPr>
          <w:rFonts w:ascii="Times New Roman" w:hAnsi="Times New Roman" w:eastAsia="仿宋" w:cs="仿宋"/>
          <w:color w:val="FF0000"/>
          <w:kern w:val="0"/>
          <w:sz w:val="32"/>
          <w:szCs w:val="32"/>
        </w:rPr>
      </w:pPr>
      <w:r>
        <w:rPr>
          <w:rFonts w:hint="eastAsia" w:ascii="Times New Roman" w:hAnsi="Times New Roman" w:eastAsia="仿宋" w:cs="仿宋"/>
          <w:kern w:val="0"/>
          <w:sz w:val="32"/>
          <w:szCs w:val="32"/>
        </w:rPr>
        <w:t>二级标题：楷体三号字加粗，左缩进2字符，行间距为固定值28磅，序号：（一）（二）（三）……。</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三级标题：仿宋三号字加粗，左缩进2字符，行间距为固定值28磅，序号：1</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2</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3</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四级标题：仿宋三号字加粗，左缩进2字符，行间距为固定值28磅，序号：（1）（2）（3）……。</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五级标题：仿宋三号字，左缩进2字符，行间距为固定值28磅，序号：① ② ③ ……。</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正文：仿宋三号字，行间距为固定值28磅，段落首行缩进2字符，对齐方式为两端对齐；正文中的英文与数字均采用Times New Roman字体。</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表格：表名置于表格上方居中，黑体小四号字，行间距为固定值28磅，段前0.5行、段后0.5行；表格内文字采用仿宋体，字号可根据内容自行合理调整，</w:t>
      </w:r>
      <w:bookmarkStart w:id="0" w:name="_GoBack"/>
      <w:r>
        <w:rPr>
          <w:rFonts w:hint="eastAsia" w:ascii="Times New Roman" w:hAnsi="Times New Roman" w:eastAsia="仿宋" w:cs="仿宋"/>
          <w:kern w:val="0"/>
          <w:sz w:val="32"/>
          <w:szCs w:val="32"/>
          <w:highlight w:val="none"/>
        </w:rPr>
        <w:t>行间距为固定值</w:t>
      </w:r>
      <w:r>
        <w:rPr>
          <w:rFonts w:hint="eastAsia" w:ascii="Times New Roman" w:hAnsi="Times New Roman" w:eastAsia="仿宋" w:cs="仿宋"/>
          <w:kern w:val="0"/>
          <w:sz w:val="32"/>
          <w:szCs w:val="32"/>
          <w:highlight w:val="none"/>
          <w:lang w:val="en-US" w:eastAsia="zh-CN"/>
        </w:rPr>
        <w:t>16</w:t>
      </w:r>
      <w:r>
        <w:rPr>
          <w:rFonts w:hint="eastAsia" w:ascii="Times New Roman" w:hAnsi="Times New Roman" w:eastAsia="仿宋" w:cs="仿宋"/>
          <w:kern w:val="0"/>
          <w:sz w:val="32"/>
          <w:szCs w:val="32"/>
          <w:highlight w:val="none"/>
        </w:rPr>
        <w:t>磅</w:t>
      </w:r>
      <w:bookmarkEnd w:id="0"/>
      <w:r>
        <w:rPr>
          <w:rFonts w:hint="eastAsia" w:ascii="Times New Roman" w:hAnsi="Times New Roman" w:eastAsia="仿宋" w:cs="仿宋"/>
          <w:kern w:val="0"/>
          <w:sz w:val="32"/>
          <w:szCs w:val="32"/>
        </w:rPr>
        <w:t>；整个表格居中对齐，表格若跨页，要设置标题行重复。</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图：图名置于图的下方居中，黑体小四号字，单倍行距。</w:t>
      </w:r>
    </w:p>
    <w:p>
      <w:pPr>
        <w:widowControl/>
        <w:spacing w:line="560" w:lineRule="exact"/>
        <w:ind w:firstLine="640" w:firstLineChars="200"/>
        <w:rPr>
          <w:rFonts w:ascii="Times New Roman" w:hAnsi="Times New Roman" w:eastAsia="仿宋" w:cs="仿宋"/>
          <w:color w:val="FF0000"/>
          <w:kern w:val="0"/>
          <w:sz w:val="32"/>
          <w:szCs w:val="32"/>
        </w:rPr>
      </w:pPr>
      <w:r>
        <w:rPr>
          <w:rFonts w:hint="eastAsia" w:ascii="Times New Roman" w:hAnsi="Times New Roman" w:eastAsia="仿宋" w:cs="仿宋"/>
          <w:b/>
          <w:bCs/>
          <w:kern w:val="0"/>
          <w:sz w:val="32"/>
          <w:szCs w:val="32"/>
        </w:rPr>
        <w:t>（3）附件</w:t>
      </w:r>
    </w:p>
    <w:p>
      <w:pPr>
        <w:widowControl/>
        <w:spacing w:line="560" w:lineRule="exact"/>
        <w:ind w:firstLine="640" w:firstLineChars="200"/>
        <w:jc w:val="left"/>
        <w:rPr>
          <w:rFonts w:ascii="Times New Roman" w:hAnsi="Times New Roman" w:eastAsia="仿宋" w:cs="仿宋"/>
          <w:b/>
          <w:bCs/>
          <w:kern w:val="0"/>
          <w:sz w:val="32"/>
          <w:szCs w:val="32"/>
        </w:rPr>
      </w:pPr>
      <w:r>
        <w:rPr>
          <w:rFonts w:hint="eastAsia" w:ascii="仿宋" w:hAnsi="仿宋" w:eastAsia="仿宋" w:cs="仿宋"/>
          <w:kern w:val="0"/>
          <w:sz w:val="32"/>
          <w:szCs w:val="32"/>
        </w:rPr>
        <w:t>文档如有附件，在正文下空一行，首行缩进</w:t>
      </w:r>
      <w:r>
        <w:rPr>
          <w:rFonts w:ascii="Times New Roman" w:hAnsi="Times New Roman" w:eastAsia="仿宋" w:cs="Times New Roman"/>
          <w:kern w:val="0"/>
          <w:sz w:val="32"/>
          <w:szCs w:val="32"/>
        </w:rPr>
        <w:t>2</w:t>
      </w:r>
      <w:r>
        <w:rPr>
          <w:rFonts w:hint="eastAsia" w:ascii="仿宋" w:hAnsi="仿宋" w:eastAsia="仿宋" w:cs="仿宋"/>
          <w:kern w:val="0"/>
          <w:sz w:val="32"/>
          <w:szCs w:val="32"/>
        </w:rPr>
        <w:t>字符，用仿宋体三号字标识“附件”，后标全角冒号和名称。附件如有序号，使用阿拉伯数字（如“附件：</w:t>
      </w:r>
      <w:r>
        <w:rPr>
          <w:rFonts w:ascii="Times New Roman" w:hAnsi="Times New Roman" w:eastAsia="仿宋" w:cs="Times New Roman"/>
          <w:kern w:val="0"/>
          <w:sz w:val="32"/>
          <w:szCs w:val="32"/>
        </w:rPr>
        <w:t>1</w:t>
      </w:r>
      <w:r>
        <w:rPr>
          <w:rFonts w:hint="eastAsia" w:ascii="仿宋" w:hAnsi="仿宋" w:eastAsia="仿宋" w:cs="仿宋"/>
          <w:kern w:val="0"/>
          <w:sz w:val="32"/>
          <w:szCs w:val="32"/>
        </w:rPr>
        <w:t>.***”），附件名称后不加标点符号，附件名称较长需要回行时，应当与上一行附件名称的首字对齐。附件段落格式与字体格式参考正文设置规则。</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b/>
          <w:bCs/>
          <w:kern w:val="0"/>
          <w:sz w:val="32"/>
          <w:szCs w:val="32"/>
        </w:rPr>
        <w:t>（4）落款</w:t>
      </w:r>
    </w:p>
    <w:p>
      <w:pPr>
        <w:widowControl/>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所有文本材料均需署成文单位名称，署名位置在正文结束后空两行，以右对齐的形式署成文单位全称，不能使用简称。在下一行相应处标识成文日期，成文日期中的数字用阿拉伯数字将年、月、日标全，年份应标全称，月、日不编虚位（即</w:t>
      </w:r>
      <w:r>
        <w:rPr>
          <w:rFonts w:ascii="Times New Roman" w:hAnsi="Times New Roman" w:eastAsia="仿宋" w:cs="Times New Roman"/>
          <w:kern w:val="0"/>
          <w:sz w:val="32"/>
          <w:szCs w:val="32"/>
        </w:rPr>
        <w:t>1不编为01</w:t>
      </w:r>
      <w:r>
        <w:rPr>
          <w:rFonts w:hint="eastAsia" w:ascii="仿宋" w:hAnsi="仿宋" w:eastAsia="仿宋" w:cs="仿宋"/>
          <w:kern w:val="0"/>
          <w:sz w:val="32"/>
          <w:szCs w:val="32"/>
        </w:rPr>
        <w:t>）。如需加盖公章，盖章位置按规范要求盖在成文单位名称上。</w:t>
      </w:r>
    </w:p>
    <w:p>
      <w:pPr>
        <w:spacing w:line="560" w:lineRule="exact"/>
        <w:ind w:firstLine="640" w:firstLineChars="200"/>
        <w:rPr>
          <w:rFonts w:ascii="仿宋" w:hAnsi="仿宋" w:eastAsia="仿宋" w:cs="仿宋"/>
          <w:b/>
          <w:bCs/>
          <w:kern w:val="0"/>
          <w:sz w:val="32"/>
          <w:szCs w:val="32"/>
        </w:rPr>
      </w:pPr>
      <w:r>
        <w:rPr>
          <w:rFonts w:ascii="Times New Roman" w:hAnsi="Times New Roman" w:eastAsia="仿宋" w:cs="Times New Roman"/>
          <w:b/>
          <w:bCs/>
          <w:kern w:val="0"/>
          <w:sz w:val="32"/>
          <w:szCs w:val="32"/>
        </w:rPr>
        <w:t>2</w:t>
      </w:r>
      <w:r>
        <w:rPr>
          <w:rFonts w:hint="eastAsia" w:ascii="仿宋" w:hAnsi="仿宋" w:eastAsia="仿宋" w:cs="仿宋"/>
          <w:b/>
          <w:bCs/>
          <w:kern w:val="0"/>
          <w:sz w:val="32"/>
          <w:szCs w:val="32"/>
        </w:rPr>
        <w:t>.表格材料</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各类统计表格、报表和名册等采用</w:t>
      </w:r>
      <w:r>
        <w:rPr>
          <w:rFonts w:ascii="Times New Roman" w:hAnsi="Times New Roman" w:eastAsia="仿宋" w:cs="Times New Roman"/>
          <w:kern w:val="0"/>
          <w:sz w:val="32"/>
          <w:szCs w:val="32"/>
        </w:rPr>
        <w:t>Excel</w:t>
      </w:r>
      <w:r>
        <w:rPr>
          <w:rFonts w:hint="eastAsia" w:ascii="仿宋" w:hAnsi="仿宋" w:eastAsia="仿宋" w:cs="仿宋"/>
          <w:kern w:val="0"/>
          <w:sz w:val="32"/>
          <w:szCs w:val="32"/>
        </w:rPr>
        <w:t>文档。涉及数据采集的项目优先使用统计部门下发的统一格式表格，无统一格式表格数据采集时按照以下格式制作表格：</w:t>
      </w:r>
    </w:p>
    <w:p>
      <w:pPr>
        <w:spacing w:line="560" w:lineRule="exact"/>
        <w:ind w:firstLine="539"/>
        <w:rPr>
          <w:rFonts w:eastAsia="仿宋"/>
          <w:b/>
          <w:bCs/>
          <w:sz w:val="32"/>
          <w:szCs w:val="32"/>
          <w:vertAlign w:val="subscript"/>
        </w:rPr>
      </w:pPr>
      <w:r>
        <w:rPr>
          <w:rFonts w:hint="eastAsia" w:ascii="Times New Roman" w:hAnsi="Times New Roman" w:eastAsia="仿宋" w:cs="仿宋"/>
          <w:b/>
          <w:bCs/>
          <w:kern w:val="0"/>
          <w:sz w:val="32"/>
          <w:szCs w:val="32"/>
        </w:rPr>
        <w:t>（1）</w:t>
      </w:r>
      <w:r>
        <w:rPr>
          <w:rFonts w:hint="eastAsia" w:eastAsia="仿宋"/>
          <w:b/>
          <w:bCs/>
          <w:sz w:val="32"/>
          <w:szCs w:val="32"/>
        </w:rPr>
        <w:t>版面设置</w:t>
      </w:r>
    </w:p>
    <w:p>
      <w:pPr>
        <w:widowControl/>
        <w:spacing w:line="560" w:lineRule="exact"/>
        <w:ind w:firstLine="624" w:firstLineChars="200"/>
        <w:rPr>
          <w:rFonts w:ascii="仿宋" w:hAnsi="仿宋" w:eastAsia="仿宋" w:cs="仿宋"/>
          <w:spacing w:val="-4"/>
          <w:kern w:val="0"/>
          <w:sz w:val="32"/>
          <w:szCs w:val="32"/>
        </w:rPr>
      </w:pPr>
      <w:r>
        <w:rPr>
          <w:rFonts w:hint="eastAsia" w:ascii="仿宋" w:hAnsi="仿宋" w:eastAsia="仿宋" w:cs="仿宋"/>
          <w:spacing w:val="-4"/>
          <w:kern w:val="0"/>
          <w:sz w:val="32"/>
          <w:szCs w:val="32"/>
        </w:rPr>
        <w:t>纸张：根据实际情况选用</w:t>
      </w:r>
      <w:r>
        <w:rPr>
          <w:rFonts w:hint="eastAsia" w:ascii="Times New Roman" w:hAnsi="Times New Roman" w:eastAsia="仿宋" w:cs="仿宋"/>
          <w:kern w:val="0"/>
          <w:sz w:val="32"/>
          <w:szCs w:val="32"/>
        </w:rPr>
        <w:t>标准A4或A3纸，幅面白色。</w:t>
      </w:r>
    </w:p>
    <w:p>
      <w:pPr>
        <w:widowControl/>
        <w:spacing w:line="560" w:lineRule="exact"/>
        <w:ind w:firstLine="624" w:firstLineChars="200"/>
        <w:rPr>
          <w:rFonts w:ascii="Times New Roman" w:hAnsi="Times New Roman" w:eastAsia="仿宋" w:cs="仿宋"/>
          <w:kern w:val="0"/>
          <w:sz w:val="32"/>
          <w:szCs w:val="32"/>
        </w:rPr>
      </w:pPr>
      <w:r>
        <w:rPr>
          <w:rFonts w:hint="eastAsia" w:ascii="仿宋" w:hAnsi="仿宋" w:eastAsia="仿宋" w:cs="仿宋"/>
          <w:spacing w:val="-4"/>
          <w:kern w:val="0"/>
          <w:sz w:val="32"/>
          <w:szCs w:val="32"/>
        </w:rPr>
        <w:t>页面设置：</w:t>
      </w:r>
      <w:r>
        <w:rPr>
          <w:rFonts w:hint="eastAsia" w:ascii="Times New Roman" w:hAnsi="Times New Roman" w:eastAsia="仿宋" w:cs="仿宋"/>
          <w:kern w:val="0"/>
          <w:sz w:val="32"/>
          <w:szCs w:val="32"/>
        </w:rPr>
        <w:t>页边距为上2.0厘米，下2.0厘米，左2.2厘米，右2.0厘米；页眉1.0厘米，页脚1.0厘米。</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页码：超过1页的表格须添加页码，页码格式为“1、2、3、</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”，Times New Roman字体10号字，页面底端居中。</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打印：一般情况为纵向双面打印，列数较多时可采用横向打印。打印内容涉及多页的，要设置标题行重复打印，确保每一页都显示表头。</w:t>
      </w:r>
    </w:p>
    <w:p>
      <w:pPr>
        <w:spacing w:line="560" w:lineRule="exact"/>
        <w:ind w:firstLine="539"/>
        <w:rPr>
          <w:rFonts w:eastAsia="仿宋"/>
          <w:b/>
          <w:bCs/>
          <w:sz w:val="32"/>
          <w:szCs w:val="32"/>
          <w:vertAlign w:val="subscript"/>
        </w:rPr>
      </w:pPr>
      <w:r>
        <w:rPr>
          <w:rFonts w:hint="eastAsia" w:ascii="Times New Roman" w:hAnsi="Times New Roman" w:eastAsia="仿宋" w:cs="仿宋"/>
          <w:b/>
          <w:bCs/>
          <w:kern w:val="0"/>
          <w:sz w:val="32"/>
          <w:szCs w:val="32"/>
        </w:rPr>
        <w:t>（2）</w:t>
      </w:r>
      <w:r>
        <w:rPr>
          <w:rFonts w:hint="eastAsia" w:eastAsia="仿宋"/>
          <w:b/>
          <w:bCs/>
          <w:sz w:val="32"/>
          <w:szCs w:val="32"/>
        </w:rPr>
        <w:t>表格排版</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标题：黑体16号字加粗，水平居中、垂直居中；标题字数不超过一行时行高设定为40磅，多行标题根据实际情况自行调整行高；标题行是对所有项目列采用“合并单元格”的形式产生，无上、左、右边框。</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表头：仿宋12号字加粗，水平居中、垂直居中；表头字数不超过一行时行高设定为20磅，多行表头根据实际情况自行调整行高。</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单元格：文字采用仿宋12号字，水平居中</w:t>
      </w:r>
      <w:r>
        <w:rPr>
          <w:rFonts w:hint="eastAsia" w:ascii="仿宋" w:hAnsi="仿宋" w:eastAsia="仿宋" w:cs="仿宋"/>
          <w:kern w:val="0"/>
          <w:sz w:val="32"/>
          <w:szCs w:val="32"/>
        </w:rPr>
        <w:t>（</w:t>
      </w:r>
      <w:r>
        <w:rPr>
          <w:rFonts w:ascii="Times New Roman" w:hAnsi="Times New Roman" w:eastAsia="仿宋" w:cs="Times New Roman"/>
          <w:kern w:val="0"/>
          <w:sz w:val="32"/>
          <w:szCs w:val="32"/>
        </w:rPr>
        <w:t>6</w:t>
      </w:r>
      <w:r>
        <w:rPr>
          <w:rFonts w:hint="eastAsia" w:ascii="Times New Roman" w:hAnsi="Times New Roman" w:eastAsia="仿宋" w:cs="仿宋"/>
          <w:kern w:val="0"/>
          <w:sz w:val="32"/>
          <w:szCs w:val="32"/>
        </w:rPr>
        <w:t>字以上左对齐</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、垂直居中；英文与数字均采用Times New Roman字体；内容字数不超过一行时行高设定为20磅，多行内容根据实际情况自行调整行高。表中无内容的一律空白，数值为0的应填“0”，不得空缺；表内数字或文字有连续重复，不能用“同上”、“同左”等字样。</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填表信息：所有表格均需在标题行之后一行标注填报单位（公章）、填报人、填报日期等信息，仿宋12号字，行高设定为30磅，水平左对齐、垂直居中。</w:t>
      </w:r>
    </w:p>
    <w:p>
      <w:pPr>
        <w:widowControl/>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列宽：列宽不做具体要求，可根据内容及打印预览情况自行合理调整。</w:t>
      </w:r>
    </w:p>
    <w:p>
      <w:pPr>
        <w:spacing w:line="560" w:lineRule="exact"/>
        <w:ind w:firstLine="640" w:firstLineChars="200"/>
        <w:rPr>
          <w:rFonts w:ascii="仿宋" w:hAnsi="仿宋" w:eastAsia="仿宋" w:cs="仿宋"/>
          <w:kern w:val="0"/>
          <w:sz w:val="32"/>
          <w:szCs w:val="32"/>
        </w:rPr>
      </w:pPr>
      <w:r>
        <w:rPr>
          <w:rFonts w:hint="eastAsia" w:ascii="Times New Roman" w:hAnsi="Times New Roman" w:eastAsia="仿宋" w:cs="仿宋"/>
          <w:kern w:val="0"/>
          <w:sz w:val="32"/>
          <w:szCs w:val="32"/>
        </w:rPr>
        <w:t>内容较多、比较复杂的表格，排版方式可以根据实际情况有所调整，美观为上。</w:t>
      </w:r>
    </w:p>
    <w:p>
      <w:pPr>
        <w:widowControl/>
        <w:spacing w:line="560" w:lineRule="exact"/>
        <w:ind w:firstLine="640" w:firstLineChars="200"/>
        <w:rPr>
          <w:rFonts w:ascii="仿宋" w:hAnsi="仿宋" w:eastAsia="仿宋" w:cs="仿宋"/>
          <w:b/>
          <w:bCs/>
          <w:kern w:val="0"/>
          <w:sz w:val="32"/>
          <w:szCs w:val="32"/>
        </w:rPr>
      </w:pPr>
      <w:r>
        <w:rPr>
          <w:rFonts w:ascii="Times New Roman" w:hAnsi="Times New Roman" w:eastAsia="仿宋" w:cs="Times New Roman"/>
          <w:b/>
          <w:bCs/>
          <w:kern w:val="0"/>
          <w:sz w:val="32"/>
          <w:szCs w:val="32"/>
        </w:rPr>
        <w:t>3</w:t>
      </w:r>
      <w:r>
        <w:rPr>
          <w:rFonts w:hint="eastAsia" w:ascii="仿宋" w:hAnsi="仿宋" w:eastAsia="仿宋" w:cs="仿宋"/>
          <w:b/>
          <w:bCs/>
          <w:kern w:val="0"/>
          <w:sz w:val="32"/>
          <w:szCs w:val="32"/>
        </w:rPr>
        <w:t>.度量单位及文本数字</w:t>
      </w:r>
    </w:p>
    <w:p>
      <w:pPr>
        <w:widowControl/>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材料中出现的度量单位要使用国际标准度量单位，优先使用中文表述，如面积使用“平方米”，表格或统计部门有明确要求的文字材料可使用“</w:t>
      </w:r>
      <w:r>
        <w:rPr>
          <w:rFonts w:ascii="Times New Roman" w:hAnsi="Times New Roman" w:eastAsia="仿宋" w:cs="Times New Roman"/>
          <w:kern w:val="0"/>
          <w:sz w:val="32"/>
          <w:szCs w:val="32"/>
        </w:rPr>
        <w:t>m</w:t>
      </w:r>
      <w:r>
        <w:rPr>
          <w:rFonts w:ascii="Times New Roman" w:hAnsi="Times New Roman" w:eastAsia="仿宋" w:cs="Times New Roman"/>
          <w:kern w:val="0"/>
          <w:sz w:val="32"/>
          <w:szCs w:val="32"/>
          <w:vertAlign w:val="superscript"/>
        </w:rPr>
        <w:t>2</w:t>
      </w:r>
      <w:r>
        <w:rPr>
          <w:rFonts w:hint="eastAsia" w:ascii="仿宋" w:hAnsi="仿宋" w:eastAsia="仿宋" w:cs="仿宋"/>
          <w:kern w:val="0"/>
          <w:sz w:val="32"/>
          <w:szCs w:val="32"/>
        </w:rPr>
        <w:t>”；量词应统一，如师生数用“人”，图书用“册”，计算机用“台”，座位用“个”等。</w:t>
      </w:r>
    </w:p>
    <w:p>
      <w:pPr>
        <w:widowControl/>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材料中出现的两位及以上数字统一用阿拉伯数字表示，小数点后面统一保留两位有效数字。</w:t>
      </w:r>
    </w:p>
    <w:p>
      <w:pPr>
        <w:widowControl/>
        <w:spacing w:line="560" w:lineRule="exact"/>
        <w:ind w:firstLine="640" w:firstLineChars="200"/>
        <w:rPr>
          <w:rFonts w:ascii="Times New Roman" w:hAnsi="Times New Roman" w:eastAsia="仿宋" w:cs="Times New Roman"/>
          <w:b/>
          <w:bCs/>
          <w:kern w:val="0"/>
          <w:sz w:val="32"/>
          <w:szCs w:val="32"/>
        </w:rPr>
      </w:pPr>
      <w:r>
        <w:rPr>
          <w:rFonts w:ascii="Times New Roman" w:hAnsi="Times New Roman" w:eastAsia="仿宋" w:cs="Times New Roman"/>
          <w:b/>
          <w:bCs/>
          <w:kern w:val="0"/>
          <w:sz w:val="32"/>
          <w:szCs w:val="32"/>
        </w:rPr>
        <w:t>4</w:t>
      </w:r>
      <w:r>
        <w:rPr>
          <w:rFonts w:hint="eastAsia" w:ascii="仿宋" w:hAnsi="仿宋" w:eastAsia="仿宋" w:cs="仿宋"/>
          <w:b/>
          <w:bCs/>
          <w:kern w:val="0"/>
          <w:sz w:val="32"/>
          <w:szCs w:val="32"/>
        </w:rPr>
        <w:t>.</w:t>
      </w:r>
      <w:r>
        <w:rPr>
          <w:rFonts w:ascii="Times New Roman" w:hAnsi="Times New Roman" w:eastAsia="仿宋" w:cs="Times New Roman"/>
          <w:b/>
          <w:bCs/>
          <w:kern w:val="0"/>
          <w:sz w:val="32"/>
          <w:szCs w:val="32"/>
        </w:rPr>
        <w:t>数据的使用</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为确保数据的精准到位，口径一致，各部门、院（部）须统一使用评建工作办公室按时间节点发布的各项数据。</w:t>
      </w:r>
    </w:p>
    <w:p>
      <w:pPr>
        <w:spacing w:line="560" w:lineRule="exact"/>
        <w:ind w:firstLine="640" w:firstLineChars="200"/>
        <w:rPr>
          <w:rFonts w:ascii="仿宋" w:hAnsi="仿宋" w:eastAsia="仿宋" w:cs="仿宋"/>
          <w:sz w:val="32"/>
          <w:szCs w:val="32"/>
          <w:shd w:val="clear" w:color="auto" w:fill="FFFFFF"/>
        </w:rPr>
      </w:pPr>
      <w:r>
        <w:rPr>
          <w:rFonts w:hint="eastAsia" w:ascii="楷体" w:hAnsi="楷体" w:eastAsia="楷体" w:cs="楷体"/>
          <w:b/>
          <w:bCs/>
          <w:sz w:val="32"/>
          <w:szCs w:val="32"/>
          <w:shd w:val="clear" w:color="auto" w:fill="FFFFFF"/>
        </w:rPr>
        <w:t>（三）综述材料整理</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要求文字精炼、表述准确、主线清晰、成绩写实、数据确凿、问题找准、分析透彻、改进有方，要能客观、全面、综合地反映本单位的主要成绩、亮点特色及存在的问题、原因分析和改进措施。要用事实说话，用数据说话，与报送本科教学质量监测数据及学校自评报告相互印证。收集、整理的支撑材料能够佐证综述的观点和数据。</w:t>
      </w:r>
    </w:p>
    <w:p>
      <w:pPr>
        <w:spacing w:line="560" w:lineRule="exact"/>
        <w:ind w:firstLine="640" w:firstLineChars="200"/>
        <w:rPr>
          <w:rFonts w:ascii="Times New Roman" w:hAnsi="Times New Roman" w:eastAsia="仿宋" w:cs="Times New Roman"/>
          <w:b/>
          <w:bCs/>
          <w:kern w:val="0"/>
          <w:sz w:val="32"/>
          <w:szCs w:val="32"/>
        </w:rPr>
      </w:pPr>
      <w:r>
        <w:rPr>
          <w:rFonts w:hint="eastAsia" w:ascii="仿宋" w:hAnsi="仿宋" w:eastAsia="仿宋" w:cs="仿宋"/>
          <w:kern w:val="0"/>
          <w:sz w:val="32"/>
          <w:szCs w:val="32"/>
        </w:rPr>
        <w:t>结合各个观测点的内涵，要求直述主题，对某项工作进行综述，综述时应包括前言、主体、结语三个部分。</w:t>
      </w:r>
    </w:p>
    <w:p>
      <w:pPr>
        <w:spacing w:line="560" w:lineRule="exact"/>
        <w:ind w:firstLine="640" w:firstLineChars="200"/>
        <w:rPr>
          <w:rFonts w:ascii="仿宋" w:hAnsi="仿宋" w:eastAsia="仿宋" w:cs="仿宋"/>
          <w:b/>
          <w:bCs/>
          <w:kern w:val="0"/>
          <w:sz w:val="32"/>
          <w:szCs w:val="32"/>
        </w:rPr>
      </w:pPr>
      <w:r>
        <w:rPr>
          <w:rFonts w:ascii="Times New Roman" w:hAnsi="Times New Roman" w:eastAsia="仿宋" w:cs="Times New Roman"/>
          <w:b/>
          <w:bCs/>
          <w:kern w:val="0"/>
          <w:sz w:val="32"/>
          <w:szCs w:val="32"/>
        </w:rPr>
        <w:t>1</w:t>
      </w:r>
      <w:r>
        <w:rPr>
          <w:rFonts w:hint="eastAsia" w:ascii="仿宋" w:hAnsi="仿宋" w:eastAsia="仿宋" w:cs="仿宋"/>
          <w:b/>
          <w:bCs/>
          <w:kern w:val="0"/>
          <w:sz w:val="32"/>
          <w:szCs w:val="32"/>
        </w:rPr>
        <w:t xml:space="preserve">.前言 </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前言部分要求直接点明该综述要介绍什么、说明什么。</w:t>
      </w:r>
    </w:p>
    <w:p>
      <w:pPr>
        <w:spacing w:line="560" w:lineRule="exact"/>
        <w:ind w:firstLine="640" w:firstLineChars="200"/>
        <w:rPr>
          <w:rFonts w:ascii="仿宋" w:hAnsi="仿宋" w:eastAsia="仿宋" w:cs="仿宋"/>
          <w:b/>
          <w:bCs/>
          <w:kern w:val="0"/>
          <w:sz w:val="32"/>
          <w:szCs w:val="32"/>
        </w:rPr>
      </w:pPr>
      <w:r>
        <w:rPr>
          <w:rFonts w:ascii="Times New Roman" w:hAnsi="Times New Roman" w:eastAsia="仿宋" w:cs="Times New Roman"/>
          <w:b/>
          <w:bCs/>
          <w:kern w:val="0"/>
          <w:sz w:val="32"/>
          <w:szCs w:val="32"/>
        </w:rPr>
        <w:t>2</w:t>
      </w:r>
      <w:r>
        <w:rPr>
          <w:rFonts w:hint="eastAsia" w:ascii="仿宋" w:hAnsi="仿宋" w:eastAsia="仿宋" w:cs="仿宋"/>
          <w:b/>
          <w:bCs/>
          <w:kern w:val="0"/>
          <w:sz w:val="32"/>
          <w:szCs w:val="32"/>
        </w:rPr>
        <w:t xml:space="preserve">.主体  </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主体部分可分为若干层次，每个层次说明一个主题，层次之间用标题分开。文字量较少的综述，主体部分可以不分层次，而用段落区分。要求语言精炼，概述性强。</w:t>
      </w:r>
    </w:p>
    <w:p>
      <w:pPr>
        <w:spacing w:line="560" w:lineRule="exact"/>
        <w:ind w:firstLine="640" w:firstLineChars="200"/>
        <w:rPr>
          <w:rFonts w:ascii="仿宋" w:hAnsi="仿宋" w:eastAsia="仿宋" w:cs="仿宋"/>
          <w:b/>
          <w:bCs/>
          <w:kern w:val="0"/>
          <w:sz w:val="32"/>
          <w:szCs w:val="32"/>
        </w:rPr>
      </w:pPr>
      <w:r>
        <w:rPr>
          <w:rFonts w:ascii="Times New Roman" w:hAnsi="Times New Roman" w:eastAsia="仿宋" w:cs="Times New Roman"/>
          <w:b/>
          <w:bCs/>
          <w:kern w:val="0"/>
          <w:sz w:val="32"/>
          <w:szCs w:val="32"/>
        </w:rPr>
        <w:t>3</w:t>
      </w:r>
      <w:r>
        <w:rPr>
          <w:rFonts w:hint="eastAsia" w:ascii="仿宋" w:hAnsi="仿宋" w:eastAsia="仿宋" w:cs="仿宋"/>
          <w:b/>
          <w:bCs/>
          <w:kern w:val="0"/>
          <w:sz w:val="32"/>
          <w:szCs w:val="32"/>
        </w:rPr>
        <w:t xml:space="preserve">.结语   </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结语部分对该观测点的工作给予简明的总结，即对该观测点给出定性或定量的评价。</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四、材料的立卷归档</w:t>
      </w:r>
    </w:p>
    <w:p>
      <w:pPr>
        <w:spacing w:line="560" w:lineRule="exact"/>
        <w:ind w:firstLine="640" w:firstLineChars="200"/>
        <w:rPr>
          <w:rFonts w:ascii="仿宋" w:hAnsi="仿宋" w:eastAsia="仿宋" w:cs="仿宋"/>
          <w:sz w:val="32"/>
          <w:szCs w:val="32"/>
          <w:shd w:val="clear" w:color="auto" w:fill="FFFFFF"/>
        </w:rPr>
      </w:pPr>
      <w:r>
        <w:rPr>
          <w:rFonts w:hint="eastAsia" w:ascii="楷体" w:hAnsi="楷体" w:eastAsia="楷体" w:cs="楷体"/>
          <w:b/>
          <w:bCs/>
          <w:sz w:val="32"/>
          <w:szCs w:val="32"/>
          <w:shd w:val="clear" w:color="auto" w:fill="FFFFFF"/>
        </w:rPr>
        <w:t>（一）材料目录设置与格式</w:t>
      </w:r>
    </w:p>
    <w:p>
      <w:pPr>
        <w:spacing w:line="560" w:lineRule="exact"/>
        <w:ind w:firstLine="640" w:firstLineChars="200"/>
        <w:rPr>
          <w:rFonts w:ascii="仿宋" w:hAnsi="仿宋" w:eastAsia="仿宋" w:cs="仿宋"/>
          <w:b/>
          <w:bCs/>
          <w:kern w:val="0"/>
          <w:sz w:val="32"/>
          <w:szCs w:val="32"/>
        </w:rPr>
      </w:pPr>
      <w:r>
        <w:rPr>
          <w:rFonts w:ascii="Times New Roman" w:hAnsi="Times New Roman" w:eastAsia="仿宋" w:cs="Times New Roman"/>
          <w:b/>
          <w:bCs/>
          <w:kern w:val="0"/>
          <w:sz w:val="32"/>
          <w:szCs w:val="32"/>
        </w:rPr>
        <w:t>1</w:t>
      </w:r>
      <w:r>
        <w:rPr>
          <w:rFonts w:hint="eastAsia" w:ascii="仿宋" w:hAnsi="仿宋" w:eastAsia="仿宋" w:cs="仿宋"/>
          <w:b/>
          <w:bCs/>
          <w:kern w:val="0"/>
          <w:sz w:val="32"/>
          <w:szCs w:val="32"/>
        </w:rPr>
        <w:t>.目录设置</w:t>
      </w:r>
    </w:p>
    <w:p>
      <w:pPr>
        <w:spacing w:line="560" w:lineRule="exact"/>
        <w:ind w:firstLine="640" w:firstLineChars="200"/>
        <w:rPr>
          <w:rFonts w:ascii="宋体" w:hAnsi="宋体" w:eastAsia="宋体" w:cs="宋体"/>
          <w:sz w:val="24"/>
        </w:rPr>
      </w:pPr>
      <w:r>
        <w:rPr>
          <w:rFonts w:hint="eastAsia" w:ascii="仿宋" w:hAnsi="仿宋" w:eastAsia="仿宋" w:cs="仿宋"/>
          <w:kern w:val="0"/>
          <w:sz w:val="32"/>
          <w:szCs w:val="32"/>
        </w:rPr>
        <w:t>评估材料目录共分五级：</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一级目录：本科教学工作合格评估指标体系中的一级指标。 </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二级目录：本科教学工作合格评估指标体系中的二级指标。 </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三级目录：本科教学工作合格评估指标体系中的主要观测点。 </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四级目录：为说明“主要观测点”的支撑材料类目。 </w:t>
      </w:r>
    </w:p>
    <w:p>
      <w:pPr>
        <w:spacing w:line="560" w:lineRule="exact"/>
        <w:ind w:firstLine="640" w:firstLineChars="200"/>
        <w:rPr>
          <w:rFonts w:ascii="宋体" w:hAnsi="宋体" w:eastAsia="宋体" w:cs="宋体"/>
          <w:sz w:val="24"/>
        </w:rPr>
      </w:pPr>
      <w:r>
        <w:rPr>
          <w:rFonts w:hint="eastAsia" w:ascii="仿宋" w:hAnsi="仿宋" w:eastAsia="仿宋" w:cs="仿宋"/>
          <w:kern w:val="0"/>
          <w:sz w:val="32"/>
          <w:szCs w:val="32"/>
        </w:rPr>
        <w:t>五级目录：为说明“四级目录”所需要的支撑材料类目。</w:t>
      </w:r>
      <w:r>
        <w:rPr>
          <w:rFonts w:ascii="宋体" w:hAnsi="宋体" w:eastAsia="宋体" w:cs="宋体"/>
          <w:sz w:val="24"/>
        </w:rPr>
        <w:t xml:space="preserve"> </w:t>
      </w:r>
    </w:p>
    <w:p>
      <w:pPr>
        <w:spacing w:line="560" w:lineRule="exact"/>
        <w:ind w:firstLine="640" w:firstLineChars="200"/>
        <w:rPr>
          <w:rFonts w:ascii="宋体" w:hAnsi="宋体" w:eastAsia="宋体" w:cs="宋体"/>
          <w:sz w:val="24"/>
        </w:rPr>
      </w:pPr>
      <w:r>
        <w:rPr>
          <w:rFonts w:hint="eastAsia" w:ascii="Times New Roman" w:hAnsi="Times New Roman" w:eastAsia="仿宋" w:cs="Times New Roman"/>
          <w:b/>
          <w:bCs/>
          <w:kern w:val="0"/>
          <w:sz w:val="32"/>
          <w:szCs w:val="32"/>
        </w:rPr>
        <w:t>2</w:t>
      </w:r>
      <w:r>
        <w:rPr>
          <w:rFonts w:hint="eastAsia" w:ascii="仿宋" w:hAnsi="仿宋" w:eastAsia="仿宋" w:cs="仿宋"/>
          <w:b/>
          <w:bCs/>
          <w:kern w:val="0"/>
          <w:sz w:val="32"/>
          <w:szCs w:val="32"/>
        </w:rPr>
        <w:t>.目录格式</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一级目录：编号为“1”、“2”、“3”、</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 xml:space="preserve">。 </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二级目录：编号为“1.1”、“1.2”、</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，“2.1”、“2.2”、</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 xml:space="preserve">。 </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三级目录：编号为“1.1.1”、“1.1.2”、</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“1.2.1”、“1.2.2”、</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“2.1.1”、“2.1.2”、</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 xml:space="preserve">。 </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四级目录：编号为“1.1.1</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1”、“1.1.1</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2”、</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“1.1.2</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1”、 “1.1.2</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2”、</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“1.2.1</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1”、“1.2.1</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2”、</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五级目录：编号为“（1）”、“（2）”、“（3）”、</w:t>
      </w:r>
      <w:r>
        <w:rPr>
          <w:rFonts w:hint="eastAsia" w:ascii="Times New Roman" w:hAnsi="Times New Roman" w:eastAsia="仿宋" w:cs="仿宋"/>
          <w:kern w:val="0"/>
          <w:sz w:val="28"/>
          <w:szCs w:val="28"/>
        </w:rPr>
        <w:t>……</w:t>
      </w:r>
      <w:r>
        <w:rPr>
          <w:rFonts w:hint="eastAsia" w:ascii="Times New Roman" w:hAnsi="Times New Roman" w:eastAsia="仿宋" w:cs="仿宋"/>
          <w:kern w:val="0"/>
          <w:sz w:val="32"/>
          <w:szCs w:val="32"/>
        </w:rPr>
        <w:t>。</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 xml:space="preserve">例： </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 xml:space="preserve">1 办学思路与领导作用 （一级目录） </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 xml:space="preserve">1.1 办学定位 （二级目录） </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1.1.1 学校定位与规划 （三级目录）</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1.1.1</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 xml:space="preserve">1 学校历史沿革及现状 （四级目录） </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（1）学校历史沿革及现状概况 （五级目录）</w:t>
      </w:r>
    </w:p>
    <w:p>
      <w:pPr>
        <w:spacing w:line="560" w:lineRule="exact"/>
        <w:ind w:firstLine="640" w:firstLineChars="200"/>
        <w:rPr>
          <w:rFonts w:ascii="仿宋" w:hAnsi="仿宋" w:eastAsia="仿宋" w:cs="仿宋"/>
          <w:sz w:val="32"/>
          <w:szCs w:val="32"/>
          <w:shd w:val="clear" w:color="auto" w:fill="FFFFFF"/>
        </w:rPr>
      </w:pPr>
      <w:r>
        <w:rPr>
          <w:rFonts w:hint="eastAsia" w:ascii="楷体" w:hAnsi="楷体" w:eastAsia="楷体" w:cs="楷体"/>
          <w:b/>
          <w:bCs/>
          <w:sz w:val="32"/>
          <w:szCs w:val="32"/>
          <w:shd w:val="clear" w:color="auto" w:fill="FFFFFF"/>
        </w:rPr>
        <w:t>（二）材料的归档</w:t>
      </w:r>
    </w:p>
    <w:p>
      <w:pPr>
        <w:spacing w:line="560" w:lineRule="exact"/>
        <w:ind w:firstLine="640" w:firstLineChars="200"/>
        <w:rPr>
          <w:rFonts w:ascii="Times New Roman" w:hAnsi="Times New Roman" w:eastAsia="仿宋" w:cs="Times New Roman"/>
          <w:b/>
          <w:bCs/>
          <w:kern w:val="0"/>
          <w:sz w:val="32"/>
          <w:szCs w:val="32"/>
        </w:rPr>
      </w:pPr>
      <w:r>
        <w:rPr>
          <w:rFonts w:ascii="Times New Roman" w:hAnsi="Times New Roman" w:eastAsia="仿宋" w:cs="Times New Roman"/>
          <w:b/>
          <w:bCs/>
          <w:kern w:val="0"/>
          <w:sz w:val="32"/>
          <w:szCs w:val="32"/>
        </w:rPr>
        <w:t>1</w:t>
      </w:r>
      <w:r>
        <w:rPr>
          <w:rFonts w:hint="eastAsia" w:ascii="仿宋" w:hAnsi="仿宋" w:eastAsia="仿宋" w:cs="仿宋"/>
          <w:b/>
          <w:bCs/>
          <w:kern w:val="0"/>
          <w:sz w:val="32"/>
          <w:szCs w:val="32"/>
        </w:rPr>
        <w:t>.</w:t>
      </w:r>
      <w:r>
        <w:rPr>
          <w:rFonts w:ascii="Times New Roman" w:hAnsi="Times New Roman" w:eastAsia="仿宋" w:cs="Times New Roman"/>
          <w:b/>
          <w:bCs/>
          <w:kern w:val="0"/>
          <w:sz w:val="32"/>
          <w:szCs w:val="32"/>
        </w:rPr>
        <w:t>组卷整理</w:t>
      </w:r>
    </w:p>
    <w:p>
      <w:pPr>
        <w:spacing w:line="560" w:lineRule="exact"/>
        <w:ind w:firstLine="539"/>
        <w:rPr>
          <w:rFonts w:eastAsia="仿宋"/>
          <w:b/>
          <w:bCs/>
          <w:sz w:val="32"/>
          <w:szCs w:val="32"/>
        </w:rPr>
      </w:pPr>
      <w:r>
        <w:rPr>
          <w:rFonts w:hint="eastAsia" w:ascii="Times New Roman" w:hAnsi="Times New Roman" w:eastAsia="仿宋" w:cs="仿宋"/>
          <w:b/>
          <w:bCs/>
          <w:kern w:val="0"/>
          <w:sz w:val="32"/>
          <w:szCs w:val="32"/>
        </w:rPr>
        <w:t>（1）</w:t>
      </w:r>
      <w:r>
        <w:rPr>
          <w:rFonts w:eastAsia="仿宋"/>
          <w:b/>
          <w:bCs/>
          <w:sz w:val="32"/>
          <w:szCs w:val="32"/>
        </w:rPr>
        <w:t>组卷</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所有评估支撑材料按评估指标体系的主要观测点的顺序编号建档，装入档案盒。不要将两个及两个以上观测点的材料放入同一档案盒。档案盒应有标签，标签要统一，标明内装材料所属的观测点，例如“</w:t>
      </w:r>
      <w:r>
        <w:rPr>
          <w:rFonts w:ascii="Times New Roman" w:hAnsi="Times New Roman" w:eastAsia="仿宋" w:cs="Times New Roman"/>
          <w:kern w:val="0"/>
          <w:sz w:val="32"/>
          <w:szCs w:val="32"/>
        </w:rPr>
        <w:t>4.2.1</w:t>
      </w:r>
      <w:r>
        <w:rPr>
          <w:rFonts w:hint="eastAsia" w:ascii="Times New Roman" w:hAnsi="Times New Roman" w:eastAsia="仿宋" w:cs="Times New Roman"/>
          <w:kern w:val="0"/>
          <w:sz w:val="32"/>
          <w:szCs w:val="32"/>
        </w:rPr>
        <w:t xml:space="preserve"> </w:t>
      </w:r>
      <w:r>
        <w:rPr>
          <w:rFonts w:hint="eastAsia" w:ascii="仿宋" w:hAnsi="仿宋" w:eastAsia="仿宋" w:cs="仿宋"/>
          <w:kern w:val="0"/>
          <w:sz w:val="32"/>
          <w:szCs w:val="32"/>
        </w:rPr>
        <w:t>教学内容与课程资源建设”。当同一个观测点的材料较多，需要分盒陈列时，在同一个观测点的标签上进行编号，例如“</w:t>
      </w:r>
      <w:r>
        <w:rPr>
          <w:rFonts w:ascii="Times New Roman" w:hAnsi="Times New Roman" w:eastAsia="仿宋" w:cs="Times New Roman"/>
          <w:kern w:val="0"/>
          <w:sz w:val="32"/>
          <w:szCs w:val="32"/>
        </w:rPr>
        <w:t>4.2.1</w:t>
      </w:r>
      <w:r>
        <w:rPr>
          <w:rFonts w:hint="eastAsia" w:ascii="Times New Roman" w:hAnsi="Times New Roman" w:eastAsia="仿宋" w:cs="Times New Roman"/>
          <w:kern w:val="0"/>
          <w:sz w:val="32"/>
          <w:szCs w:val="32"/>
        </w:rPr>
        <w:t xml:space="preserve"> </w:t>
      </w:r>
      <w:r>
        <w:rPr>
          <w:rFonts w:hint="eastAsia" w:ascii="仿宋" w:hAnsi="仿宋" w:eastAsia="仿宋" w:cs="仿宋"/>
          <w:kern w:val="0"/>
          <w:sz w:val="32"/>
          <w:szCs w:val="32"/>
        </w:rPr>
        <w:t>教学内容与课程资源建设</w:t>
      </w:r>
      <w:r>
        <w:rPr>
          <w:rFonts w:hint="eastAsia" w:ascii="Times New Roman" w:hAnsi="Times New Roman" w:eastAsia="仿宋" w:cs="仿宋"/>
          <w:kern w:val="0"/>
          <w:sz w:val="32"/>
          <w:szCs w:val="32"/>
        </w:rPr>
        <w:t>（1）</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（2）</w:t>
      </w:r>
      <w:r>
        <w:rPr>
          <w:rFonts w:hint="eastAsia" w:ascii="仿宋" w:hAnsi="仿宋" w:eastAsia="仿宋" w:cs="仿宋"/>
          <w:kern w:val="0"/>
          <w:sz w:val="32"/>
          <w:szCs w:val="32"/>
        </w:rPr>
        <w:t>、</w:t>
      </w:r>
      <w:r>
        <w:rPr>
          <w:rFonts w:hint="eastAsia" w:ascii="Times New Roman" w:hAnsi="Times New Roman" w:eastAsia="仿宋" w:cs="仿宋"/>
          <w:kern w:val="0"/>
          <w:sz w:val="32"/>
          <w:szCs w:val="32"/>
        </w:rPr>
        <w:t>（3）</w:t>
      </w:r>
      <w:r>
        <w:rPr>
          <w:rFonts w:hint="eastAsia" w:ascii="仿宋" w:hAnsi="仿宋" w:eastAsia="仿宋" w:cs="仿宋"/>
          <w:kern w:val="0"/>
          <w:sz w:val="32"/>
          <w:szCs w:val="32"/>
        </w:rPr>
        <w:t>”等。</w:t>
      </w:r>
    </w:p>
    <w:p>
      <w:pPr>
        <w:spacing w:line="560" w:lineRule="exact"/>
        <w:ind w:firstLine="539"/>
        <w:rPr>
          <w:rFonts w:eastAsia="仿宋"/>
          <w:b/>
          <w:bCs/>
          <w:sz w:val="32"/>
          <w:szCs w:val="32"/>
        </w:rPr>
      </w:pPr>
      <w:r>
        <w:rPr>
          <w:rFonts w:hint="eastAsia" w:ascii="Times New Roman" w:hAnsi="Times New Roman" w:eastAsia="仿宋" w:cs="仿宋"/>
          <w:b/>
          <w:bCs/>
          <w:kern w:val="0"/>
          <w:sz w:val="32"/>
          <w:szCs w:val="32"/>
        </w:rPr>
        <w:t>（2）</w:t>
      </w:r>
      <w:r>
        <w:rPr>
          <w:rFonts w:hint="eastAsia" w:eastAsia="仿宋"/>
          <w:b/>
          <w:bCs/>
          <w:sz w:val="32"/>
          <w:szCs w:val="32"/>
        </w:rPr>
        <w:t>排序</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支撑材料的排序按支撑材料目录顺序排列。一个编号下多个材料需要整理成册的请整理成册，在册内附上封面和目录。需要后续补充完善的，暂不装订成册，用燕尾夹夹好，以防丢失。</w:t>
      </w:r>
    </w:p>
    <w:p>
      <w:pPr>
        <w:spacing w:line="560" w:lineRule="exact"/>
        <w:ind w:firstLine="539"/>
        <w:rPr>
          <w:rFonts w:eastAsia="仿宋"/>
          <w:b/>
          <w:bCs/>
          <w:sz w:val="32"/>
          <w:szCs w:val="32"/>
        </w:rPr>
      </w:pPr>
      <w:r>
        <w:rPr>
          <w:rFonts w:hint="eastAsia" w:ascii="Times New Roman" w:hAnsi="Times New Roman" w:eastAsia="仿宋" w:cs="仿宋"/>
          <w:b/>
          <w:bCs/>
          <w:kern w:val="0"/>
          <w:sz w:val="32"/>
          <w:szCs w:val="32"/>
        </w:rPr>
        <w:t>（3）</w:t>
      </w:r>
      <w:r>
        <w:rPr>
          <w:rFonts w:hint="eastAsia" w:eastAsia="仿宋"/>
          <w:b/>
          <w:bCs/>
          <w:sz w:val="32"/>
          <w:szCs w:val="32"/>
        </w:rPr>
        <w:t>目录</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每个档案盒内必须有材料目录，列出本盒内所包含的材料名称。目录打印</w:t>
      </w:r>
      <w:r>
        <w:rPr>
          <w:rFonts w:ascii="Times New Roman" w:hAnsi="Times New Roman" w:eastAsia="仿宋" w:cs="Times New Roman"/>
          <w:kern w:val="0"/>
          <w:sz w:val="32"/>
          <w:szCs w:val="32"/>
        </w:rPr>
        <w:t>2</w:t>
      </w:r>
      <w:r>
        <w:rPr>
          <w:rFonts w:hint="eastAsia" w:ascii="仿宋" w:hAnsi="仿宋" w:eastAsia="仿宋" w:cs="仿宋"/>
          <w:kern w:val="0"/>
          <w:sz w:val="32"/>
          <w:szCs w:val="32"/>
        </w:rPr>
        <w:t>份，一份单页放在文件盒内，一份装订成册做材料总目录。</w:t>
      </w:r>
    </w:p>
    <w:p>
      <w:pPr>
        <w:spacing w:line="560" w:lineRule="exact"/>
        <w:ind w:firstLine="640" w:firstLineChars="200"/>
        <w:rPr>
          <w:rFonts w:ascii="Times New Roman" w:hAnsi="Times New Roman" w:eastAsia="仿宋" w:cs="Times New Roman"/>
          <w:b/>
          <w:bCs/>
          <w:kern w:val="0"/>
          <w:sz w:val="32"/>
          <w:szCs w:val="32"/>
        </w:rPr>
      </w:pPr>
      <w:r>
        <w:rPr>
          <w:rFonts w:ascii="Times New Roman" w:hAnsi="Times New Roman" w:eastAsia="仿宋" w:cs="Times New Roman"/>
          <w:b/>
          <w:bCs/>
          <w:kern w:val="0"/>
          <w:sz w:val="32"/>
          <w:szCs w:val="32"/>
        </w:rPr>
        <w:t>2</w:t>
      </w:r>
      <w:r>
        <w:rPr>
          <w:rFonts w:hint="eastAsia" w:ascii="仿宋" w:hAnsi="仿宋" w:eastAsia="仿宋" w:cs="仿宋"/>
          <w:b/>
          <w:bCs/>
          <w:kern w:val="0"/>
          <w:sz w:val="32"/>
          <w:szCs w:val="32"/>
        </w:rPr>
        <w:t>.</w:t>
      </w:r>
      <w:r>
        <w:rPr>
          <w:rFonts w:ascii="Times New Roman" w:hAnsi="Times New Roman" w:eastAsia="仿宋" w:cs="Times New Roman"/>
          <w:b/>
          <w:bCs/>
          <w:kern w:val="0"/>
          <w:sz w:val="32"/>
          <w:szCs w:val="32"/>
        </w:rPr>
        <w:t>档案装具</w:t>
      </w:r>
    </w:p>
    <w:p>
      <w:pPr>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校级评估材料及评估专家需要查阅的保存于各部门、各院（部）的材料，其编目整理、档案盒样式等要保持本单位内部统一，避免杂乱。档案盒的封面、盒脊应贴标签，扉页应贴装盒材料目录。对于体现本单位亮点和特色的材料，可根据实际需要单独装订成盒（册）。</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五、材料的保管与移交</w:t>
      </w:r>
    </w:p>
    <w:p>
      <w:pPr>
        <w:spacing w:line="560" w:lineRule="exact"/>
        <w:ind w:firstLine="539"/>
        <w:rPr>
          <w:rFonts w:ascii="楷体" w:hAnsi="楷体" w:eastAsia="楷体" w:cs="仿宋"/>
          <w:b/>
          <w:bCs/>
          <w:sz w:val="32"/>
          <w:szCs w:val="32"/>
        </w:rPr>
      </w:pPr>
      <w:r>
        <w:rPr>
          <w:rFonts w:hint="eastAsia" w:ascii="楷体" w:hAnsi="楷体" w:eastAsia="楷体" w:cs="楷体"/>
          <w:b/>
          <w:bCs/>
          <w:sz w:val="32"/>
          <w:szCs w:val="32"/>
          <w:shd w:val="clear" w:color="auto" w:fill="FFFFFF"/>
        </w:rPr>
        <w:t>（一）</w:t>
      </w:r>
      <w:r>
        <w:rPr>
          <w:rFonts w:ascii="楷体" w:hAnsi="楷体" w:eastAsia="楷体" w:cs="仿宋"/>
          <w:b/>
          <w:bCs/>
          <w:sz w:val="32"/>
          <w:szCs w:val="32"/>
        </w:rPr>
        <w:t>材料的保管</w:t>
      </w:r>
    </w:p>
    <w:p>
      <w:pPr>
        <w:spacing w:line="560" w:lineRule="exact"/>
        <w:ind w:firstLine="640" w:firstLineChars="200"/>
        <w:rPr>
          <w:rFonts w:eastAsia="仿宋"/>
          <w:sz w:val="32"/>
          <w:szCs w:val="32"/>
        </w:rPr>
      </w:pPr>
      <w:r>
        <w:rPr>
          <w:rFonts w:ascii="Times New Roman" w:hAnsi="Times New Roman" w:eastAsia="仿宋" w:cs="Times New Roman"/>
          <w:sz w:val="32"/>
          <w:szCs w:val="32"/>
        </w:rPr>
        <w:t>1</w:t>
      </w:r>
      <w:r>
        <w:rPr>
          <w:rFonts w:hint="eastAsia" w:ascii="仿宋" w:hAnsi="仿宋" w:eastAsia="仿宋" w:cs="仿宋"/>
          <w:sz w:val="32"/>
          <w:szCs w:val="32"/>
        </w:rPr>
        <w:t>.</w:t>
      </w:r>
      <w:r>
        <w:rPr>
          <w:rFonts w:hint="eastAsia" w:ascii="仿宋_GB2312" w:hAnsi="华文仿宋" w:eastAsia="仿宋_GB2312" w:cs="仿宋_GB2312"/>
          <w:kern w:val="0"/>
          <w:sz w:val="32"/>
          <w:szCs w:val="32"/>
        </w:rPr>
        <w:t>各部门、各院（部）要有评建资料室，明确评建材料整理、归档、管理的工作流程和责任人，设置专用</w:t>
      </w:r>
      <w:r>
        <w:rPr>
          <w:rFonts w:eastAsia="仿宋"/>
          <w:sz w:val="32"/>
          <w:szCs w:val="32"/>
        </w:rPr>
        <w:t>资料柜</w:t>
      </w:r>
      <w:r>
        <w:rPr>
          <w:rFonts w:hint="eastAsia" w:eastAsia="仿宋"/>
          <w:sz w:val="32"/>
          <w:szCs w:val="32"/>
        </w:rPr>
        <w:t>，</w:t>
      </w:r>
      <w:r>
        <w:rPr>
          <w:rFonts w:hint="eastAsia" w:ascii="仿宋" w:hAnsi="仿宋" w:eastAsia="仿宋" w:cs="仿宋"/>
          <w:kern w:val="0"/>
          <w:sz w:val="32"/>
          <w:szCs w:val="32"/>
        </w:rPr>
        <w:t>资料柜大小要统一，整齐美观。</w:t>
      </w:r>
      <w:r>
        <w:rPr>
          <w:rFonts w:hint="eastAsia" w:ascii="仿宋_GB2312" w:hAnsi="华文仿宋" w:eastAsia="仿宋_GB2312" w:cs="仿宋_GB2312"/>
          <w:kern w:val="0"/>
          <w:sz w:val="32"/>
          <w:szCs w:val="32"/>
        </w:rPr>
        <w:t>所有评估材料按编目整理、装盒后按序集中摆放在</w:t>
      </w:r>
      <w:r>
        <w:rPr>
          <w:rFonts w:eastAsia="仿宋"/>
          <w:sz w:val="32"/>
          <w:szCs w:val="32"/>
        </w:rPr>
        <w:t>资料柜内</w:t>
      </w:r>
      <w:r>
        <w:rPr>
          <w:rFonts w:hint="eastAsia" w:ascii="仿宋_GB2312" w:hAnsi="华文仿宋" w:eastAsia="仿宋_GB2312" w:cs="仿宋_GB2312"/>
          <w:kern w:val="0"/>
          <w:sz w:val="32"/>
          <w:szCs w:val="32"/>
        </w:rPr>
        <w:t>，并指定专人管理。</w:t>
      </w:r>
      <w:r>
        <w:rPr>
          <w:rFonts w:eastAsia="仿宋"/>
          <w:sz w:val="32"/>
          <w:szCs w:val="32"/>
        </w:rPr>
        <w:t>材料保管员必须十分熟悉材料的陈列位置、材料的内容，对专家组需要调阅的材料，能够快速查找到位。</w:t>
      </w:r>
    </w:p>
    <w:p>
      <w:pPr>
        <w:spacing w:line="56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2</w:t>
      </w:r>
      <w:r>
        <w:rPr>
          <w:rFonts w:hint="eastAsia" w:ascii="仿宋" w:hAnsi="仿宋" w:eastAsia="仿宋" w:cs="仿宋"/>
          <w:sz w:val="32"/>
          <w:szCs w:val="32"/>
        </w:rPr>
        <w:t>.校级支撑材料由评建工作办公室保管，各部门日常积累建档材料、院（部）支撑材料自行保管，以备随时查阅。</w:t>
      </w:r>
    </w:p>
    <w:p>
      <w:pPr>
        <w:spacing w:line="560" w:lineRule="exact"/>
        <w:ind w:firstLine="640" w:firstLineChars="200"/>
        <w:rPr>
          <w:rFonts w:eastAsia="仿宋"/>
          <w:sz w:val="32"/>
          <w:szCs w:val="32"/>
        </w:rPr>
      </w:pPr>
      <w:r>
        <w:rPr>
          <w:rFonts w:hint="eastAsia" w:ascii="Times New Roman" w:hAnsi="Times New Roman" w:eastAsia="仿宋" w:cs="Times New Roman"/>
          <w:sz w:val="32"/>
          <w:szCs w:val="32"/>
        </w:rPr>
        <w:t>3</w:t>
      </w:r>
      <w:r>
        <w:rPr>
          <w:rFonts w:hint="eastAsia" w:ascii="仿宋" w:hAnsi="仿宋" w:eastAsia="仿宋" w:cs="仿宋"/>
          <w:sz w:val="32"/>
          <w:szCs w:val="32"/>
        </w:rPr>
        <w:t>.</w:t>
      </w:r>
      <w:r>
        <w:rPr>
          <w:rFonts w:eastAsia="仿宋"/>
          <w:sz w:val="32"/>
          <w:szCs w:val="32"/>
        </w:rPr>
        <w:t>校内资料借阅必须办理借阅手续，并限期归还，归还时由管理员当面清点，并在借阅登记薄上进行注销，放回原来位置，严防丢失；</w:t>
      </w:r>
      <w:r>
        <w:rPr>
          <w:rFonts w:hint="eastAsia" w:eastAsia="仿宋"/>
          <w:sz w:val="32"/>
          <w:szCs w:val="32"/>
        </w:rPr>
        <w:t>有关学校评建工作的各类材料</w:t>
      </w:r>
      <w:r>
        <w:rPr>
          <w:rFonts w:eastAsia="仿宋"/>
          <w:sz w:val="32"/>
          <w:szCs w:val="32"/>
        </w:rPr>
        <w:t>未经</w:t>
      </w:r>
      <w:r>
        <w:rPr>
          <w:rFonts w:hint="eastAsia" w:ascii="仿宋" w:hAnsi="仿宋" w:eastAsia="仿宋" w:cs="仿宋"/>
          <w:sz w:val="32"/>
          <w:szCs w:val="32"/>
        </w:rPr>
        <w:t>评建工作办公室</w:t>
      </w:r>
      <w:r>
        <w:rPr>
          <w:rFonts w:eastAsia="仿宋"/>
          <w:sz w:val="32"/>
          <w:szCs w:val="32"/>
        </w:rPr>
        <w:t>同意，任何人不得私自对外</w:t>
      </w:r>
      <w:r>
        <w:rPr>
          <w:rFonts w:hint="eastAsia" w:eastAsia="仿宋"/>
          <w:sz w:val="32"/>
          <w:szCs w:val="32"/>
        </w:rPr>
        <w:t>交流</w:t>
      </w:r>
      <w:r>
        <w:rPr>
          <w:rFonts w:eastAsia="仿宋"/>
          <w:sz w:val="32"/>
          <w:szCs w:val="32"/>
        </w:rPr>
        <w:t>。</w:t>
      </w:r>
    </w:p>
    <w:p>
      <w:pPr>
        <w:widowControl/>
        <w:spacing w:line="580" w:lineRule="exact"/>
        <w:ind w:firstLine="640" w:firstLineChars="200"/>
        <w:rPr>
          <w:rFonts w:ascii="仿宋_GB2312" w:hAnsi="华文仿宋" w:eastAsia="仿宋_GB2312" w:cs="Times New Roman"/>
          <w:kern w:val="0"/>
          <w:sz w:val="32"/>
          <w:szCs w:val="32"/>
        </w:rPr>
      </w:pPr>
      <w:r>
        <w:rPr>
          <w:rFonts w:ascii="Times New Roman" w:hAnsi="Times New Roman" w:eastAsia="仿宋" w:cs="Times New Roman"/>
          <w:sz w:val="32"/>
          <w:szCs w:val="32"/>
        </w:rPr>
        <w:t>3</w:t>
      </w:r>
      <w:r>
        <w:rPr>
          <w:rFonts w:hint="eastAsia" w:ascii="仿宋" w:hAnsi="仿宋" w:eastAsia="仿宋" w:cs="仿宋"/>
          <w:sz w:val="32"/>
          <w:szCs w:val="32"/>
        </w:rPr>
        <w:t>.</w:t>
      </w:r>
      <w:r>
        <w:rPr>
          <w:rFonts w:eastAsia="仿宋"/>
          <w:sz w:val="32"/>
          <w:szCs w:val="32"/>
        </w:rPr>
        <w:t>所有资料，任何人不得随意丢弃、销毁</w:t>
      </w:r>
      <w:r>
        <w:rPr>
          <w:rFonts w:hint="eastAsia" w:eastAsia="仿宋"/>
          <w:sz w:val="32"/>
          <w:szCs w:val="32"/>
        </w:rPr>
        <w:t>。</w:t>
      </w:r>
      <w:r>
        <w:rPr>
          <w:rFonts w:hint="eastAsia" w:ascii="仿宋_GB2312" w:hAnsi="华文仿宋" w:eastAsia="仿宋_GB2312" w:cs="仿宋_GB2312"/>
          <w:kern w:val="0"/>
          <w:sz w:val="32"/>
          <w:szCs w:val="32"/>
        </w:rPr>
        <w:t>对暂时无法归档的材料，可放在专用档案盒内，并标注清楚，以便及时调阅。</w:t>
      </w:r>
    </w:p>
    <w:p>
      <w:pPr>
        <w:spacing w:line="560" w:lineRule="exact"/>
        <w:ind w:firstLine="640" w:firstLineChars="200"/>
        <w:rPr>
          <w:rFonts w:ascii="仿宋" w:hAnsi="仿宋" w:eastAsia="仿宋" w:cs="仿宋"/>
          <w:sz w:val="32"/>
          <w:szCs w:val="32"/>
          <w:shd w:val="clear" w:color="auto" w:fill="FFFFFF"/>
        </w:rPr>
      </w:pPr>
      <w:r>
        <w:rPr>
          <w:rFonts w:hint="eastAsia" w:ascii="楷体" w:hAnsi="楷体" w:eastAsia="楷体" w:cs="楷体"/>
          <w:b/>
          <w:bCs/>
          <w:sz w:val="32"/>
          <w:szCs w:val="32"/>
          <w:shd w:val="clear" w:color="auto" w:fill="FFFFFF"/>
        </w:rPr>
        <w:t>（二）</w:t>
      </w:r>
      <w:r>
        <w:rPr>
          <w:rFonts w:ascii="楷体" w:hAnsi="楷体" w:eastAsia="楷体" w:cs="仿宋"/>
          <w:b/>
          <w:bCs/>
          <w:sz w:val="32"/>
          <w:szCs w:val="32"/>
        </w:rPr>
        <w:t>材料的移交</w:t>
      </w:r>
    </w:p>
    <w:p>
      <w:pPr>
        <w:spacing w:line="560" w:lineRule="exact"/>
        <w:ind w:firstLine="640" w:firstLineChars="200"/>
        <w:rPr>
          <w:rFonts w:ascii="仿宋" w:hAnsi="仿宋" w:eastAsia="仿宋" w:cs="仿宋"/>
          <w:sz w:val="32"/>
          <w:szCs w:val="32"/>
        </w:rPr>
      </w:pPr>
      <w:r>
        <w:rPr>
          <w:rFonts w:ascii="Times New Roman" w:hAnsi="Times New Roman" w:eastAsia="仿宋" w:cs="Times New Roman"/>
          <w:sz w:val="32"/>
          <w:szCs w:val="32"/>
        </w:rPr>
        <w:t>1</w:t>
      </w:r>
      <w:r>
        <w:rPr>
          <w:rFonts w:hint="eastAsia" w:ascii="仿宋" w:hAnsi="仿宋" w:eastAsia="仿宋" w:cs="仿宋"/>
          <w:sz w:val="32"/>
          <w:szCs w:val="32"/>
        </w:rPr>
        <w:t>.需要提交评建工作办公室的材料，由各专项工作组按支撑材料目录整理上交。报送的材料需附“评估材料交接清单”（一式两份），新建材料的电子版与纸质版需一并提交。</w:t>
      </w:r>
    </w:p>
    <w:p>
      <w:pPr>
        <w:spacing w:line="560" w:lineRule="exact"/>
        <w:ind w:firstLine="640" w:firstLineChars="200"/>
        <w:rPr>
          <w:rFonts w:ascii="仿宋" w:hAnsi="仿宋" w:eastAsia="仿宋" w:cs="仿宋"/>
          <w:sz w:val="32"/>
          <w:szCs w:val="32"/>
        </w:rPr>
      </w:pPr>
      <w:r>
        <w:rPr>
          <w:rFonts w:ascii="Times New Roman" w:hAnsi="Times New Roman" w:eastAsia="仿宋" w:cs="Times New Roman"/>
          <w:sz w:val="32"/>
          <w:szCs w:val="32"/>
        </w:rPr>
        <w:t>2</w:t>
      </w:r>
      <w:r>
        <w:rPr>
          <w:rFonts w:hint="eastAsia" w:ascii="仿宋" w:hAnsi="仿宋" w:eastAsia="仿宋" w:cs="仿宋"/>
          <w:sz w:val="32"/>
          <w:szCs w:val="32"/>
        </w:rPr>
        <w:t>.报送材料要层层把关。各部门、各院（部）报送到专项工作组的材料须经本单位负责人审定；专项工作组报送到评建工作办公室的材料须经本工作组负责人审定。所有上报材料的审定人、报送人、接收人均应在“评估材料交接清单”的相应位置上签字，并加盖上报单位公章。</w:t>
      </w:r>
    </w:p>
    <w:p>
      <w:pPr>
        <w:spacing w:line="560" w:lineRule="exact"/>
        <w:ind w:firstLine="640" w:firstLineChars="200"/>
        <w:rPr>
          <w:rFonts w:ascii="黑体" w:hAnsi="黑体" w:eastAsia="黑体" w:cs="黑体"/>
          <w:sz w:val="32"/>
          <w:szCs w:val="32"/>
          <w:shd w:val="clear" w:color="auto" w:fill="FFFFFF"/>
        </w:rPr>
      </w:pPr>
      <w:r>
        <w:rPr>
          <w:rFonts w:ascii="Times New Roman" w:hAnsi="Times New Roman" w:eastAsia="仿宋" w:cs="Times New Roman"/>
          <w:sz w:val="32"/>
          <w:szCs w:val="32"/>
        </w:rPr>
        <w:t>3</w:t>
      </w:r>
      <w:r>
        <w:rPr>
          <w:rFonts w:hint="eastAsia" w:ascii="仿宋" w:hAnsi="仿宋" w:eastAsia="仿宋" w:cs="仿宋"/>
          <w:sz w:val="32"/>
          <w:szCs w:val="32"/>
        </w:rPr>
        <w:t>.材料报送应指派专人送交评建工作办公室或相关部门，并当面审核办理交接手续。</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六、工作要求</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（一）高度重视，明确责任</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各</w:t>
      </w:r>
      <w:r>
        <w:rPr>
          <w:rFonts w:hint="eastAsia" w:ascii="Times New Roman" w:hAnsi="Times New Roman" w:eastAsia="仿宋" w:cs="Times New Roman"/>
          <w:sz w:val="32"/>
          <w:szCs w:val="32"/>
        </w:rPr>
        <w:t>部门、各院（部）</w:t>
      </w:r>
      <w:r>
        <w:rPr>
          <w:rFonts w:ascii="Times New Roman" w:hAnsi="Times New Roman" w:eastAsia="仿宋" w:cs="Times New Roman"/>
          <w:sz w:val="32"/>
          <w:szCs w:val="32"/>
        </w:rPr>
        <w:t>负责人要组织本单位全体</w:t>
      </w:r>
      <w:r>
        <w:rPr>
          <w:rFonts w:hint="eastAsia" w:ascii="Times New Roman" w:hAnsi="Times New Roman" w:eastAsia="仿宋" w:cs="Times New Roman"/>
          <w:sz w:val="32"/>
          <w:szCs w:val="32"/>
        </w:rPr>
        <w:t>教职员工仔细</w:t>
      </w:r>
      <w:r>
        <w:rPr>
          <w:rFonts w:ascii="Times New Roman" w:hAnsi="Times New Roman" w:eastAsia="仿宋" w:cs="Times New Roman"/>
          <w:sz w:val="32"/>
          <w:szCs w:val="32"/>
        </w:rPr>
        <w:t>研读合格评估</w:t>
      </w:r>
      <w:r>
        <w:rPr>
          <w:rFonts w:hint="eastAsia" w:ascii="Times New Roman" w:hAnsi="Times New Roman" w:eastAsia="仿宋" w:cs="Times New Roman"/>
          <w:sz w:val="32"/>
          <w:szCs w:val="32"/>
        </w:rPr>
        <w:t>工作</w:t>
      </w:r>
      <w:r>
        <w:rPr>
          <w:rFonts w:ascii="Times New Roman" w:hAnsi="Times New Roman" w:eastAsia="仿宋" w:cs="Times New Roman"/>
          <w:sz w:val="32"/>
          <w:szCs w:val="32"/>
        </w:rPr>
        <w:t>方案，深刻理解指标内涵，明确</w:t>
      </w:r>
      <w:r>
        <w:rPr>
          <w:rFonts w:hint="eastAsia" w:ascii="Times New Roman" w:hAnsi="Times New Roman" w:eastAsia="仿宋" w:cs="Times New Roman"/>
          <w:sz w:val="32"/>
          <w:szCs w:val="32"/>
        </w:rPr>
        <w:t>工作</w:t>
      </w:r>
      <w:r>
        <w:rPr>
          <w:rFonts w:ascii="Times New Roman" w:hAnsi="Times New Roman" w:eastAsia="仿宋" w:cs="Times New Roman"/>
          <w:sz w:val="32"/>
          <w:szCs w:val="32"/>
        </w:rPr>
        <w:t>任务并认真完成。各单位要结合工作实际，理清各级材料的层次关系</w:t>
      </w:r>
      <w:r>
        <w:rPr>
          <w:rFonts w:hint="eastAsia" w:ascii="Times New Roman" w:hAnsi="Times New Roman" w:eastAsia="仿宋" w:cs="Times New Roman"/>
          <w:sz w:val="32"/>
          <w:szCs w:val="32"/>
        </w:rPr>
        <w:t>和</w:t>
      </w:r>
      <w:r>
        <w:rPr>
          <w:rFonts w:ascii="Times New Roman" w:hAnsi="Times New Roman" w:eastAsia="仿宋" w:cs="Times New Roman"/>
          <w:sz w:val="32"/>
          <w:szCs w:val="32"/>
        </w:rPr>
        <w:t>不同材料类型之间的逻辑联系，对照支撑材料目录编撰和收集支撑材料</w:t>
      </w:r>
      <w:r>
        <w:rPr>
          <w:rFonts w:hint="eastAsia" w:ascii="Times New Roman" w:hAnsi="Times New Roman" w:eastAsia="仿宋" w:cs="Times New Roman"/>
          <w:sz w:val="32"/>
          <w:szCs w:val="32"/>
        </w:rPr>
        <w:t>，</w:t>
      </w:r>
      <w:r>
        <w:rPr>
          <w:rFonts w:ascii="Times New Roman" w:hAnsi="Times New Roman" w:eastAsia="仿宋" w:cs="Times New Roman"/>
          <w:sz w:val="32"/>
          <w:szCs w:val="32"/>
        </w:rPr>
        <w:t>确保各观测点的材料针对性强，重点突出，有说服力。</w:t>
      </w:r>
    </w:p>
    <w:p>
      <w:pPr>
        <w:spacing w:line="560" w:lineRule="exact"/>
        <w:ind w:firstLine="640" w:firstLineChars="200"/>
        <w:rPr>
          <w:rFonts w:ascii="楷体" w:hAnsi="楷体" w:eastAsia="楷体" w:cs="楷体"/>
          <w:b/>
          <w:bCs/>
          <w:sz w:val="32"/>
          <w:szCs w:val="32"/>
          <w:shd w:val="clear" w:color="auto" w:fill="FFFFFF"/>
        </w:rPr>
      </w:pPr>
      <w:r>
        <w:rPr>
          <w:rFonts w:hint="eastAsia" w:ascii="楷体" w:hAnsi="楷体" w:eastAsia="楷体" w:cs="楷体"/>
          <w:b/>
          <w:bCs/>
          <w:sz w:val="32"/>
          <w:szCs w:val="32"/>
          <w:shd w:val="clear" w:color="auto" w:fill="FFFFFF"/>
        </w:rPr>
        <w:t>（二）求真务实，协调统一</w:t>
      </w:r>
    </w:p>
    <w:p>
      <w:pPr>
        <w:spacing w:line="560" w:lineRule="exact"/>
        <w:ind w:firstLine="640" w:firstLineChars="200"/>
        <w:rPr>
          <w:rFonts w:ascii="仿宋" w:hAnsi="仿宋" w:eastAsia="仿宋" w:cs="仿宋"/>
          <w:sz w:val="32"/>
          <w:szCs w:val="32"/>
        </w:rPr>
      </w:pPr>
      <w:r>
        <w:rPr>
          <w:rFonts w:ascii="Times New Roman" w:hAnsi="Times New Roman" w:eastAsia="仿宋" w:cs="Times New Roman"/>
          <w:sz w:val="32"/>
          <w:szCs w:val="32"/>
        </w:rPr>
        <w:t>各</w:t>
      </w:r>
      <w:r>
        <w:rPr>
          <w:rFonts w:hint="eastAsia" w:ascii="Times New Roman" w:hAnsi="Times New Roman" w:eastAsia="仿宋" w:cs="Times New Roman"/>
          <w:sz w:val="32"/>
          <w:szCs w:val="32"/>
        </w:rPr>
        <w:t>部门、各院（部）</w:t>
      </w:r>
      <w:r>
        <w:rPr>
          <w:rFonts w:ascii="Times New Roman" w:hAnsi="Times New Roman" w:eastAsia="仿宋" w:cs="Times New Roman"/>
          <w:sz w:val="32"/>
          <w:szCs w:val="32"/>
        </w:rPr>
        <w:t>要以真实性和原始性为材料建档的首要原则，坚持实事求是，不造假、不做假，确保各项材料客观、真实、准确地反映学校教学工作。同时还要注意校级材料与部门材料的上下一致，做到层层支撑，保证各部门数据协调统一，互为支撑，避免出现自相矛盾、数据错位等问题。</w:t>
      </w:r>
    </w:p>
    <w:p>
      <w:pPr>
        <w:spacing w:line="560" w:lineRule="exact"/>
        <w:ind w:firstLine="640" w:firstLineChars="200"/>
        <w:rPr>
          <w:rFonts w:ascii="仿宋" w:hAnsi="仿宋" w:eastAsia="仿宋" w:cs="仿宋"/>
          <w:sz w:val="32"/>
          <w:szCs w:val="32"/>
        </w:rPr>
      </w:pPr>
    </w:p>
    <w:p>
      <w:pPr>
        <w:spacing w:line="56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附件：1</w:t>
      </w:r>
      <w:r>
        <w:rPr>
          <w:rFonts w:hint="eastAsia" w:ascii="仿宋" w:hAnsi="仿宋" w:eastAsia="仿宋" w:cs="仿宋"/>
          <w:sz w:val="32"/>
          <w:szCs w:val="32"/>
        </w:rPr>
        <w:t>.本科教学工作合格评估</w:t>
      </w:r>
      <w:r>
        <w:rPr>
          <w:rFonts w:ascii="Times New Roman" w:hAnsi="Times New Roman" w:eastAsia="仿宋" w:cs="Times New Roman"/>
          <w:sz w:val="32"/>
          <w:szCs w:val="32"/>
        </w:rPr>
        <w:t>W</w:t>
      </w:r>
      <w:r>
        <w:rPr>
          <w:rFonts w:hint="eastAsia" w:ascii="Times New Roman" w:hAnsi="Times New Roman" w:eastAsia="仿宋" w:cs="Times New Roman"/>
          <w:sz w:val="32"/>
          <w:szCs w:val="32"/>
        </w:rPr>
        <w:t>ord版文字材料示例</w:t>
      </w:r>
    </w:p>
    <w:p>
      <w:pPr>
        <w:spacing w:line="560" w:lineRule="exact"/>
        <w:ind w:firstLine="1600" w:firstLineChars="500"/>
        <w:rPr>
          <w:rFonts w:ascii="Times New Roman" w:hAnsi="Times New Roman" w:eastAsia="仿宋" w:cs="Times New Roman"/>
          <w:sz w:val="32"/>
          <w:szCs w:val="32"/>
        </w:rPr>
      </w:pPr>
      <w:r>
        <w:rPr>
          <w:rFonts w:hint="eastAsia" w:ascii="Times New Roman" w:hAnsi="Times New Roman" w:eastAsia="仿宋" w:cs="Times New Roman"/>
          <w:sz w:val="32"/>
          <w:szCs w:val="32"/>
        </w:rPr>
        <w:t>2</w:t>
      </w:r>
      <w:r>
        <w:rPr>
          <w:rFonts w:hint="eastAsia" w:ascii="楷体" w:hAnsi="楷体" w:eastAsia="楷体" w:cs="楷体"/>
          <w:sz w:val="32"/>
          <w:szCs w:val="32"/>
        </w:rPr>
        <w:t>.</w:t>
      </w:r>
      <w:r>
        <w:rPr>
          <w:rFonts w:hint="eastAsia" w:ascii="仿宋" w:hAnsi="仿宋" w:eastAsia="仿宋" w:cs="仿宋"/>
          <w:sz w:val="32"/>
          <w:szCs w:val="32"/>
        </w:rPr>
        <w:t>本科教学工作合格评估</w:t>
      </w:r>
      <w:r>
        <w:rPr>
          <w:rFonts w:hint="eastAsia" w:ascii="Times New Roman" w:hAnsi="Times New Roman" w:eastAsia="仿宋" w:cs="Times New Roman"/>
          <w:sz w:val="32"/>
          <w:szCs w:val="32"/>
        </w:rPr>
        <w:t>Excel版表格材料示例</w:t>
      </w:r>
    </w:p>
    <w:p>
      <w:pPr>
        <w:spacing w:line="560" w:lineRule="exact"/>
        <w:ind w:firstLine="1600" w:firstLineChars="500"/>
        <w:rPr>
          <w:rFonts w:ascii="Times New Roman" w:hAnsi="Times New Roman" w:eastAsia="仿宋" w:cs="Times New Roman"/>
          <w:sz w:val="32"/>
          <w:szCs w:val="32"/>
        </w:rPr>
      </w:pPr>
      <w:r>
        <w:rPr>
          <w:rFonts w:hint="eastAsia" w:ascii="Times New Roman" w:hAnsi="Times New Roman" w:eastAsia="仿宋" w:cs="Times New Roman"/>
          <w:sz w:val="32"/>
          <w:szCs w:val="32"/>
        </w:rPr>
        <w:t>3</w:t>
      </w:r>
      <w:r>
        <w:rPr>
          <w:rFonts w:hint="eastAsia" w:ascii="仿宋" w:hAnsi="仿宋" w:eastAsia="仿宋" w:cs="仿宋"/>
          <w:sz w:val="32"/>
          <w:szCs w:val="32"/>
        </w:rPr>
        <w:t>.本科教学工作合格评估</w:t>
      </w:r>
      <w:r>
        <w:rPr>
          <w:rFonts w:hint="eastAsia" w:ascii="Times New Roman" w:hAnsi="Times New Roman" w:eastAsia="仿宋" w:cs="Times New Roman"/>
          <w:sz w:val="32"/>
          <w:szCs w:val="32"/>
        </w:rPr>
        <w:t>档案盒标签格式要求</w:t>
      </w:r>
    </w:p>
    <w:p>
      <w:pPr>
        <w:spacing w:line="560" w:lineRule="exact"/>
        <w:ind w:firstLine="1600" w:firstLineChars="500"/>
        <w:rPr>
          <w:rFonts w:ascii="Times New Roman" w:hAnsi="Times New Roman" w:eastAsia="仿宋" w:cs="Times New Roman"/>
          <w:sz w:val="32"/>
          <w:szCs w:val="32"/>
        </w:rPr>
      </w:pPr>
      <w:r>
        <w:rPr>
          <w:rFonts w:hint="eastAsia" w:ascii="Times New Roman" w:hAnsi="Times New Roman" w:eastAsia="仿宋" w:cs="Times New Roman"/>
          <w:sz w:val="32"/>
          <w:szCs w:val="32"/>
        </w:rPr>
        <w:t>4</w:t>
      </w:r>
      <w:r>
        <w:rPr>
          <w:rFonts w:hint="eastAsia" w:ascii="仿宋" w:hAnsi="仿宋" w:eastAsia="仿宋" w:cs="仿宋"/>
          <w:sz w:val="32"/>
          <w:szCs w:val="32"/>
        </w:rPr>
        <w:t>.本科教学工作合格评估</w:t>
      </w:r>
      <w:r>
        <w:rPr>
          <w:rFonts w:hint="eastAsia" w:ascii="Times New Roman" w:hAnsi="Times New Roman" w:eastAsia="仿宋" w:cs="Times New Roman"/>
          <w:sz w:val="32"/>
          <w:szCs w:val="32"/>
        </w:rPr>
        <w:t>支撑材料目录</w:t>
      </w:r>
    </w:p>
    <w:p>
      <w:pPr>
        <w:spacing w:line="560" w:lineRule="exact"/>
        <w:ind w:firstLine="1600" w:firstLineChars="500"/>
        <w:rPr>
          <w:rFonts w:ascii="Times New Roman" w:hAnsi="Times New Roman" w:eastAsia="仿宋" w:cs="Times New Roman"/>
          <w:sz w:val="32"/>
          <w:szCs w:val="32"/>
        </w:rPr>
      </w:pPr>
      <w:r>
        <w:rPr>
          <w:rFonts w:hint="eastAsia" w:ascii="Times New Roman" w:hAnsi="Times New Roman" w:eastAsia="仿宋" w:cs="Times New Roman"/>
          <w:sz w:val="32"/>
          <w:szCs w:val="32"/>
        </w:rPr>
        <w:t>5</w:t>
      </w:r>
      <w:r>
        <w:rPr>
          <w:rFonts w:hint="eastAsia" w:ascii="仿宋" w:hAnsi="仿宋" w:eastAsia="仿宋" w:cs="仿宋"/>
          <w:sz w:val="32"/>
          <w:szCs w:val="32"/>
        </w:rPr>
        <w:t>.本科教学工作合格评估</w:t>
      </w:r>
      <w:r>
        <w:rPr>
          <w:rFonts w:hint="eastAsia" w:ascii="Times New Roman" w:hAnsi="Times New Roman" w:eastAsia="仿宋" w:cs="Times New Roman"/>
          <w:sz w:val="32"/>
          <w:szCs w:val="32"/>
        </w:rPr>
        <w:t>材料交接清单</w:t>
      </w:r>
    </w:p>
    <w:p>
      <w:pPr>
        <w:spacing w:line="560" w:lineRule="exact"/>
        <w:ind w:firstLine="640" w:firstLineChars="200"/>
        <w:jc w:val="right"/>
        <w:rPr>
          <w:rFonts w:ascii="Times New Roman" w:hAnsi="Times New Roman" w:eastAsia="仿宋" w:cs="Times New Roman"/>
          <w:sz w:val="32"/>
          <w:szCs w:val="32"/>
        </w:rPr>
      </w:pPr>
    </w:p>
    <w:p>
      <w:pPr>
        <w:spacing w:line="560" w:lineRule="exact"/>
        <w:ind w:firstLine="640" w:firstLineChars="200"/>
        <w:jc w:val="right"/>
        <w:rPr>
          <w:rFonts w:ascii="Times New Roman" w:hAnsi="Times New Roman" w:eastAsia="仿宋" w:cs="Times New Roman"/>
          <w:sz w:val="32"/>
          <w:szCs w:val="32"/>
        </w:rPr>
      </w:pPr>
    </w:p>
    <w:p>
      <w:pPr>
        <w:spacing w:line="560" w:lineRule="exact"/>
        <w:ind w:firstLine="640" w:firstLineChars="200"/>
        <w:jc w:val="right"/>
        <w:rPr>
          <w:rFonts w:ascii="Times New Roman" w:hAnsi="Times New Roman" w:eastAsia="仿宋" w:cs="Times New Roman"/>
          <w:sz w:val="32"/>
          <w:szCs w:val="32"/>
        </w:rPr>
      </w:pPr>
      <w:r>
        <w:rPr>
          <w:rFonts w:hint="eastAsia" w:ascii="Times New Roman" w:hAnsi="Times New Roman" w:eastAsia="仿宋" w:cs="Times New Roman"/>
          <w:sz w:val="32"/>
          <w:szCs w:val="32"/>
        </w:rPr>
        <w:t>吉林建筑科技学院评建工作办公室</w:t>
      </w:r>
    </w:p>
    <w:p>
      <w:pPr>
        <w:spacing w:line="560" w:lineRule="exact"/>
        <w:ind w:firstLine="640" w:firstLineChars="200"/>
        <w:jc w:val="right"/>
        <w:rPr>
          <w:rFonts w:ascii="Times New Roman" w:hAnsi="Times New Roman" w:eastAsia="仿宋" w:cs="Times New Roman"/>
          <w:sz w:val="32"/>
          <w:szCs w:val="32"/>
        </w:rPr>
      </w:pPr>
      <w:r>
        <w:rPr>
          <w:rFonts w:hint="eastAsia" w:ascii="Times New Roman" w:hAnsi="Times New Roman" w:eastAsia="仿宋" w:cs="Times New Roman"/>
          <w:sz w:val="32"/>
          <w:szCs w:val="32"/>
        </w:rPr>
        <w:t>2023年3月25日</w:t>
      </w:r>
    </w:p>
    <w:p>
      <w:pPr>
        <w:spacing w:line="560" w:lineRule="exact"/>
        <w:ind w:firstLine="640" w:firstLineChars="200"/>
        <w:rPr>
          <w:rFonts w:ascii="仿宋" w:hAnsi="仿宋" w:eastAsia="仿宋" w:cs="仿宋"/>
          <w:sz w:val="32"/>
          <w:szCs w:val="32"/>
        </w:rPr>
      </w:pPr>
    </w:p>
    <w:p>
      <w:pPr>
        <w:spacing w:line="560" w:lineRule="exact"/>
        <w:ind w:firstLine="640" w:firstLineChars="200"/>
        <w:rPr>
          <w:rFonts w:ascii="仿宋" w:hAnsi="仿宋" w:eastAsia="仿宋" w:cs="仿宋"/>
          <w:sz w:val="32"/>
          <w:szCs w:val="32"/>
        </w:rPr>
      </w:pPr>
    </w:p>
    <w:p>
      <w:pPr>
        <w:spacing w:line="560" w:lineRule="exact"/>
        <w:ind w:firstLine="640" w:firstLineChars="200"/>
        <w:rPr>
          <w:rFonts w:ascii="仿宋" w:hAnsi="仿宋" w:eastAsia="仿宋" w:cs="仿宋"/>
          <w:sz w:val="32"/>
          <w:szCs w:val="32"/>
        </w:rPr>
      </w:pPr>
    </w:p>
    <w:p>
      <w:pPr>
        <w:rPr>
          <w:rFonts w:ascii="仿宋" w:hAnsi="仿宋" w:eastAsia="仿宋" w:cs="仿宋"/>
          <w:b/>
          <w:bCs/>
          <w:sz w:val="32"/>
          <w:szCs w:val="32"/>
          <w:shd w:val="clear" w:color="auto" w:fill="FFFFFF"/>
        </w:rPr>
      </w:pPr>
    </w:p>
    <w:sectPr>
      <w:footerReference r:id="rId3" w:type="default"/>
      <w:pgSz w:w="11906" w:h="16838"/>
      <w:pgMar w:top="1417" w:right="1474" w:bottom="1417" w:left="1587" w:header="851" w:footer="624"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4MTgxZWQxNTIwODQ1NWFlZGU3OWFiNGVlNGZjZDUifQ=="/>
  </w:docVars>
  <w:rsids>
    <w:rsidRoot w:val="00E31593"/>
    <w:rsid w:val="00020697"/>
    <w:rsid w:val="00026CC5"/>
    <w:rsid w:val="0009099F"/>
    <w:rsid w:val="000D118E"/>
    <w:rsid w:val="000F4241"/>
    <w:rsid w:val="0013663F"/>
    <w:rsid w:val="001939E0"/>
    <w:rsid w:val="001D2245"/>
    <w:rsid w:val="001D6516"/>
    <w:rsid w:val="002006E8"/>
    <w:rsid w:val="002051F4"/>
    <w:rsid w:val="00210490"/>
    <w:rsid w:val="00261506"/>
    <w:rsid w:val="002712AB"/>
    <w:rsid w:val="002B1E43"/>
    <w:rsid w:val="002D3E0F"/>
    <w:rsid w:val="002F25E5"/>
    <w:rsid w:val="00357F32"/>
    <w:rsid w:val="003E32B3"/>
    <w:rsid w:val="00413460"/>
    <w:rsid w:val="00512BCD"/>
    <w:rsid w:val="00520133"/>
    <w:rsid w:val="00582861"/>
    <w:rsid w:val="005A186E"/>
    <w:rsid w:val="005E1586"/>
    <w:rsid w:val="006D732B"/>
    <w:rsid w:val="0070399B"/>
    <w:rsid w:val="0071335A"/>
    <w:rsid w:val="00857F54"/>
    <w:rsid w:val="008E17CF"/>
    <w:rsid w:val="008F5759"/>
    <w:rsid w:val="00954C27"/>
    <w:rsid w:val="00986F0D"/>
    <w:rsid w:val="009C738A"/>
    <w:rsid w:val="00A0005A"/>
    <w:rsid w:val="00B01678"/>
    <w:rsid w:val="00B70F88"/>
    <w:rsid w:val="00B875F3"/>
    <w:rsid w:val="00BC11DD"/>
    <w:rsid w:val="00BD3104"/>
    <w:rsid w:val="00C23856"/>
    <w:rsid w:val="00C32E26"/>
    <w:rsid w:val="00C65AB0"/>
    <w:rsid w:val="00C66219"/>
    <w:rsid w:val="00C908BB"/>
    <w:rsid w:val="00C96950"/>
    <w:rsid w:val="00CB58CD"/>
    <w:rsid w:val="00CD0676"/>
    <w:rsid w:val="00CF304A"/>
    <w:rsid w:val="00D178DC"/>
    <w:rsid w:val="00D425EE"/>
    <w:rsid w:val="00D4295E"/>
    <w:rsid w:val="00D53D97"/>
    <w:rsid w:val="00D7728E"/>
    <w:rsid w:val="00D808BB"/>
    <w:rsid w:val="00D85EC3"/>
    <w:rsid w:val="00DB6042"/>
    <w:rsid w:val="00DC4C9D"/>
    <w:rsid w:val="00E31593"/>
    <w:rsid w:val="00E62889"/>
    <w:rsid w:val="00E64324"/>
    <w:rsid w:val="00EA2B28"/>
    <w:rsid w:val="00EA6E59"/>
    <w:rsid w:val="00EC5439"/>
    <w:rsid w:val="00FA626B"/>
    <w:rsid w:val="0103444D"/>
    <w:rsid w:val="01BD35AB"/>
    <w:rsid w:val="04C743CF"/>
    <w:rsid w:val="04DC01EC"/>
    <w:rsid w:val="05A36F5B"/>
    <w:rsid w:val="05A74BC4"/>
    <w:rsid w:val="06424632"/>
    <w:rsid w:val="06B36468"/>
    <w:rsid w:val="07191292"/>
    <w:rsid w:val="08250AE9"/>
    <w:rsid w:val="08F5540B"/>
    <w:rsid w:val="09293607"/>
    <w:rsid w:val="092C60E4"/>
    <w:rsid w:val="09811362"/>
    <w:rsid w:val="0D1D41A2"/>
    <w:rsid w:val="0DC331D6"/>
    <w:rsid w:val="0E1701CC"/>
    <w:rsid w:val="0E7F3B10"/>
    <w:rsid w:val="0FCB7DE2"/>
    <w:rsid w:val="10516C27"/>
    <w:rsid w:val="106118D6"/>
    <w:rsid w:val="10F63F49"/>
    <w:rsid w:val="12AD3EF5"/>
    <w:rsid w:val="130354DD"/>
    <w:rsid w:val="147C012B"/>
    <w:rsid w:val="147E2008"/>
    <w:rsid w:val="148F76A1"/>
    <w:rsid w:val="155D1761"/>
    <w:rsid w:val="15C91406"/>
    <w:rsid w:val="16AD2BAC"/>
    <w:rsid w:val="17C23271"/>
    <w:rsid w:val="1921659B"/>
    <w:rsid w:val="1B140288"/>
    <w:rsid w:val="1B707488"/>
    <w:rsid w:val="1BB47375"/>
    <w:rsid w:val="1C5A0976"/>
    <w:rsid w:val="1E311151"/>
    <w:rsid w:val="1E3176F5"/>
    <w:rsid w:val="1E4B7A66"/>
    <w:rsid w:val="1EC62FBE"/>
    <w:rsid w:val="1F477CBE"/>
    <w:rsid w:val="201C2958"/>
    <w:rsid w:val="202F278A"/>
    <w:rsid w:val="20E93F65"/>
    <w:rsid w:val="21A85E01"/>
    <w:rsid w:val="22067F62"/>
    <w:rsid w:val="24EA3E07"/>
    <w:rsid w:val="2580651A"/>
    <w:rsid w:val="25DE6591"/>
    <w:rsid w:val="25FD20A2"/>
    <w:rsid w:val="264B271F"/>
    <w:rsid w:val="26D269C4"/>
    <w:rsid w:val="27200EB0"/>
    <w:rsid w:val="2A6B59EA"/>
    <w:rsid w:val="2A833010"/>
    <w:rsid w:val="2AB70C30"/>
    <w:rsid w:val="2AEA2DB3"/>
    <w:rsid w:val="2B0D4AFC"/>
    <w:rsid w:val="2BC23E7B"/>
    <w:rsid w:val="2C353934"/>
    <w:rsid w:val="2CB527D9"/>
    <w:rsid w:val="2CBB79BF"/>
    <w:rsid w:val="2D4542D1"/>
    <w:rsid w:val="2D870D8D"/>
    <w:rsid w:val="2DAE128B"/>
    <w:rsid w:val="2E0E23C4"/>
    <w:rsid w:val="2FE75B13"/>
    <w:rsid w:val="30DC13F0"/>
    <w:rsid w:val="30F009F7"/>
    <w:rsid w:val="32495999"/>
    <w:rsid w:val="336B14F0"/>
    <w:rsid w:val="34774245"/>
    <w:rsid w:val="34FD61F3"/>
    <w:rsid w:val="35E43A04"/>
    <w:rsid w:val="35F26FC0"/>
    <w:rsid w:val="38FB2E90"/>
    <w:rsid w:val="3A8F1281"/>
    <w:rsid w:val="3AEC222F"/>
    <w:rsid w:val="3C1852A6"/>
    <w:rsid w:val="3D233F03"/>
    <w:rsid w:val="3E3A56F3"/>
    <w:rsid w:val="3E3C2C2E"/>
    <w:rsid w:val="3E607BBE"/>
    <w:rsid w:val="3E992241"/>
    <w:rsid w:val="3F135F11"/>
    <w:rsid w:val="401B34E1"/>
    <w:rsid w:val="405D6386"/>
    <w:rsid w:val="4209646D"/>
    <w:rsid w:val="435C05A4"/>
    <w:rsid w:val="44437445"/>
    <w:rsid w:val="44A20921"/>
    <w:rsid w:val="45AF57D5"/>
    <w:rsid w:val="46601D24"/>
    <w:rsid w:val="46696E2A"/>
    <w:rsid w:val="472B2331"/>
    <w:rsid w:val="48B620CF"/>
    <w:rsid w:val="49553696"/>
    <w:rsid w:val="495F5AAF"/>
    <w:rsid w:val="4A4F4366"/>
    <w:rsid w:val="4B530F4F"/>
    <w:rsid w:val="4BF52813"/>
    <w:rsid w:val="4C9D623D"/>
    <w:rsid w:val="4CFD02CC"/>
    <w:rsid w:val="4D2E550E"/>
    <w:rsid w:val="4DCF43EC"/>
    <w:rsid w:val="4E78007B"/>
    <w:rsid w:val="4EBC71DE"/>
    <w:rsid w:val="4EF13E61"/>
    <w:rsid w:val="4F8A4436"/>
    <w:rsid w:val="4FF47811"/>
    <w:rsid w:val="50006AB5"/>
    <w:rsid w:val="50A5052F"/>
    <w:rsid w:val="510F7CBF"/>
    <w:rsid w:val="515833E9"/>
    <w:rsid w:val="51F03C23"/>
    <w:rsid w:val="52763068"/>
    <w:rsid w:val="56787887"/>
    <w:rsid w:val="570E4F64"/>
    <w:rsid w:val="571201AE"/>
    <w:rsid w:val="578C2978"/>
    <w:rsid w:val="57E24FD0"/>
    <w:rsid w:val="585711D8"/>
    <w:rsid w:val="58AE691E"/>
    <w:rsid w:val="58DF3A54"/>
    <w:rsid w:val="58EF56FD"/>
    <w:rsid w:val="59B2141B"/>
    <w:rsid w:val="5C317F92"/>
    <w:rsid w:val="5D767830"/>
    <w:rsid w:val="5DBB4CFD"/>
    <w:rsid w:val="5DE44B11"/>
    <w:rsid w:val="5DFB324F"/>
    <w:rsid w:val="5EF27611"/>
    <w:rsid w:val="5F37639D"/>
    <w:rsid w:val="5F4B35FB"/>
    <w:rsid w:val="603518DC"/>
    <w:rsid w:val="605E78A2"/>
    <w:rsid w:val="60B116A2"/>
    <w:rsid w:val="61E17D65"/>
    <w:rsid w:val="622D3AE7"/>
    <w:rsid w:val="63511F1B"/>
    <w:rsid w:val="65570CD1"/>
    <w:rsid w:val="65B857C8"/>
    <w:rsid w:val="662E109F"/>
    <w:rsid w:val="6667603D"/>
    <w:rsid w:val="66F85A95"/>
    <w:rsid w:val="67135A61"/>
    <w:rsid w:val="674848E9"/>
    <w:rsid w:val="674A015A"/>
    <w:rsid w:val="676A6106"/>
    <w:rsid w:val="676B3DB5"/>
    <w:rsid w:val="67841DBE"/>
    <w:rsid w:val="678C03A6"/>
    <w:rsid w:val="686270B9"/>
    <w:rsid w:val="6A260B2B"/>
    <w:rsid w:val="6A3824EC"/>
    <w:rsid w:val="6BB13D50"/>
    <w:rsid w:val="6BB469CB"/>
    <w:rsid w:val="6BFD341F"/>
    <w:rsid w:val="6C18486D"/>
    <w:rsid w:val="6C1A7B4D"/>
    <w:rsid w:val="6CB247D7"/>
    <w:rsid w:val="6CE21624"/>
    <w:rsid w:val="6D637080"/>
    <w:rsid w:val="6EC362D6"/>
    <w:rsid w:val="6EEB4E15"/>
    <w:rsid w:val="6F3277A9"/>
    <w:rsid w:val="6F4F75F9"/>
    <w:rsid w:val="708B0DC2"/>
    <w:rsid w:val="70A905F7"/>
    <w:rsid w:val="70DC5333"/>
    <w:rsid w:val="725D51E5"/>
    <w:rsid w:val="72BF37AA"/>
    <w:rsid w:val="73812C97"/>
    <w:rsid w:val="750B0F29"/>
    <w:rsid w:val="76B922E1"/>
    <w:rsid w:val="775F555C"/>
    <w:rsid w:val="77A318EC"/>
    <w:rsid w:val="7856695F"/>
    <w:rsid w:val="78AD0549"/>
    <w:rsid w:val="7A0D0B66"/>
    <w:rsid w:val="7A100D8F"/>
    <w:rsid w:val="7A3356AA"/>
    <w:rsid w:val="7B2C051C"/>
    <w:rsid w:val="7B4D0FB7"/>
    <w:rsid w:val="7C6D1E36"/>
    <w:rsid w:val="7D517687"/>
    <w:rsid w:val="7E7F64E4"/>
    <w:rsid w:val="7F091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toc 3"/>
    <w:basedOn w:val="1"/>
    <w:next w:val="1"/>
    <w:unhideWhenUsed/>
    <w:qFormat/>
    <w:uiPriority w:val="39"/>
    <w:pPr>
      <w:tabs>
        <w:tab w:val="right" w:leader="dot" w:pos="8789"/>
      </w:tabs>
      <w:spacing w:line="360" w:lineRule="auto"/>
      <w:ind w:left="840" w:leftChars="400"/>
    </w:pPr>
    <w:rPr>
      <w:rFonts w:ascii="宋体" w:hAnsi="宋体" w:eastAsia="宋体" w:cs="Times New Roman"/>
      <w:b/>
      <w:sz w:val="28"/>
      <w:szCs w:val="28"/>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rPr>
      <w:rFonts w:ascii="Times New Roman" w:hAnsi="Times New Roman" w:eastAsia="宋体" w:cs="Times New Roman"/>
      <w:szCs w:val="22"/>
    </w:rPr>
  </w:style>
  <w:style w:type="paragraph" w:styleId="7">
    <w:name w:val="toc 2"/>
    <w:basedOn w:val="1"/>
    <w:next w:val="1"/>
    <w:unhideWhenUsed/>
    <w:qFormat/>
    <w:uiPriority w:val="39"/>
    <w:pPr>
      <w:tabs>
        <w:tab w:val="right" w:leader="dot" w:pos="8789"/>
      </w:tabs>
      <w:spacing w:line="360" w:lineRule="auto"/>
      <w:ind w:left="420" w:leftChars="200"/>
    </w:pPr>
    <w:rPr>
      <w:rFonts w:ascii="黑体" w:hAnsi="黑体" w:eastAsia="黑体" w:cs="Times New Roman"/>
      <w:b/>
      <w:sz w:val="28"/>
      <w:szCs w:val="28"/>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character" w:customStyle="1" w:styleId="12">
    <w:name w:val="页眉 Char"/>
    <w:basedOn w:val="10"/>
    <w:link w:val="5"/>
    <w:qFormat/>
    <w:uiPriority w:val="99"/>
    <w:rPr>
      <w:sz w:val="18"/>
      <w:szCs w:val="18"/>
    </w:rPr>
  </w:style>
  <w:style w:type="character" w:customStyle="1" w:styleId="13">
    <w:name w:val="页脚 Char"/>
    <w:basedOn w:val="10"/>
    <w:link w:val="4"/>
    <w:qFormat/>
    <w:uiPriority w:val="99"/>
    <w:rPr>
      <w:sz w:val="18"/>
      <w:szCs w:val="18"/>
    </w:rPr>
  </w:style>
  <w:style w:type="character" w:customStyle="1" w:styleId="14">
    <w:name w:val="批注框文本 Char"/>
    <w:basedOn w:val="10"/>
    <w:link w:val="3"/>
    <w:semiHidden/>
    <w:qFormat/>
    <w:uiPriority w:val="99"/>
    <w:rPr>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324125-B27D-451A-810F-EFF08E3B5FD5}">
  <ds:schemaRefs/>
</ds:datastoreItem>
</file>

<file path=docProps/app.xml><?xml version="1.0" encoding="utf-8"?>
<Properties xmlns="http://schemas.openxmlformats.org/officeDocument/2006/extended-properties" xmlns:vt="http://schemas.openxmlformats.org/officeDocument/2006/docPropsVTypes">
  <Template>Normal</Template>
  <Pages>13</Pages>
  <Words>5968</Words>
  <Characters>6219</Characters>
  <Lines>45</Lines>
  <Paragraphs>12</Paragraphs>
  <TotalTime>23</TotalTime>
  <ScaleCrop>false</ScaleCrop>
  <LinksUpToDate>false</LinksUpToDate>
  <CharactersWithSpaces>6277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2019-12-02T06:29:00Z</dcterms:created>
  <dc:creator>LENOVO</dc:creator>
  <cp:lastModifiedBy>LENOVO</cp:lastModifiedBy>
  <dcterms:modified xsi:type="dcterms:W3CDTF">2023-04-17T01:08:16Z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22CF3F3BE2BA4C7EBF6C483F9BB6DACC</vt:lpwstr>
  </property>
</Properties>
</file>